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4C" w:rsidRPr="00215496" w:rsidRDefault="00DB3A4F">
      <w:pPr>
        <w:spacing w:before="240" w:after="150"/>
        <w:rPr>
          <w:lang w:val="en-GB"/>
        </w:rPr>
      </w:pPr>
      <w:r w:rsidRPr="00215496">
        <w:rPr>
          <w:sz w:val="27"/>
          <w:szCs w:val="27"/>
          <w:lang w:val="en-GB"/>
        </w:rPr>
        <w:t>Tender Information</w:t>
      </w:r>
    </w:p>
    <w:tbl>
      <w:tblPr>
        <w:tblW w:w="5000" w:type="pct"/>
        <w:tblCellMar>
          <w:left w:w="0" w:type="dxa"/>
          <w:right w:w="0" w:type="dxa"/>
        </w:tblCellMar>
        <w:tblLook w:val="0000"/>
      </w:tblPr>
      <w:tblGrid>
        <w:gridCol w:w="1500"/>
        <w:gridCol w:w="75"/>
        <w:gridCol w:w="7831"/>
      </w:tblGrid>
      <w:tr w:rsidR="00C4084C" w:rsidRPr="00215496">
        <w:tc>
          <w:tcPr>
            <w:tcW w:w="1500" w:type="dxa"/>
            <w:tcMar>
              <w:top w:w="0" w:type="dxa"/>
              <w:left w:w="0" w:type="dxa"/>
              <w:bottom w:w="0" w:type="dxa"/>
              <w:right w:w="0" w:type="dxa"/>
            </w:tcMar>
            <w:vAlign w:val="center"/>
          </w:tcPr>
          <w:p w:rsidR="00C4084C" w:rsidRPr="00215496" w:rsidRDefault="00DB3A4F">
            <w:pPr>
              <w:rPr>
                <w:lang w:val="en-GB"/>
              </w:rPr>
            </w:pPr>
            <w:r w:rsidRPr="00215496">
              <w:rPr>
                <w:b/>
                <w:bCs/>
                <w:sz w:val="18"/>
                <w:szCs w:val="18"/>
                <w:lang w:val="en-GB"/>
              </w:rPr>
              <w:t>Notice Period</w:t>
            </w:r>
          </w:p>
        </w:tc>
        <w:tc>
          <w:tcPr>
            <w:tcW w:w="75" w:type="dxa"/>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w:t>
            </w:r>
          </w:p>
        </w:tc>
        <w:tc>
          <w:tcPr>
            <w:tcW w:w="0" w:type="auto"/>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14</w:t>
            </w:r>
          </w:p>
        </w:tc>
      </w:tr>
      <w:tr w:rsidR="00C4084C" w:rsidRPr="00215496">
        <w:tc>
          <w:tcPr>
            <w:tcW w:w="0" w:type="auto"/>
            <w:tcMar>
              <w:top w:w="0" w:type="dxa"/>
              <w:left w:w="0" w:type="dxa"/>
              <w:bottom w:w="0" w:type="dxa"/>
              <w:right w:w="0" w:type="dxa"/>
            </w:tcMar>
            <w:vAlign w:val="center"/>
          </w:tcPr>
          <w:p w:rsidR="00C4084C" w:rsidRPr="00215496" w:rsidRDefault="00DB3A4F">
            <w:pPr>
              <w:rPr>
                <w:lang w:val="en-GB"/>
              </w:rPr>
            </w:pPr>
            <w:r w:rsidRPr="00215496">
              <w:rPr>
                <w:b/>
                <w:bCs/>
                <w:sz w:val="18"/>
                <w:szCs w:val="18"/>
                <w:lang w:val="en-GB"/>
              </w:rPr>
              <w:t>Legal Scope</w:t>
            </w:r>
          </w:p>
        </w:tc>
        <w:tc>
          <w:tcPr>
            <w:tcW w:w="0" w:type="auto"/>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w:t>
            </w:r>
          </w:p>
        </w:tc>
        <w:tc>
          <w:tcPr>
            <w:tcW w:w="0" w:type="auto"/>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13/a</w:t>
            </w:r>
          </w:p>
        </w:tc>
      </w:tr>
      <w:tr w:rsidR="00C4084C" w:rsidRPr="00215496">
        <w:tc>
          <w:tcPr>
            <w:tcW w:w="0" w:type="auto"/>
            <w:tcMar>
              <w:top w:w="0" w:type="dxa"/>
              <w:left w:w="0" w:type="dxa"/>
              <w:bottom w:w="0" w:type="dxa"/>
              <w:right w:w="0" w:type="dxa"/>
            </w:tcMar>
            <w:vAlign w:val="center"/>
          </w:tcPr>
          <w:p w:rsidR="00C4084C" w:rsidRPr="00215496" w:rsidRDefault="00DB3A4F">
            <w:pPr>
              <w:rPr>
                <w:lang w:val="en-GB"/>
              </w:rPr>
            </w:pPr>
            <w:r w:rsidRPr="00215496">
              <w:rPr>
                <w:b/>
                <w:bCs/>
                <w:sz w:val="18"/>
                <w:szCs w:val="18"/>
                <w:lang w:val="en-GB"/>
              </w:rPr>
              <w:t>Remaining Time</w:t>
            </w:r>
          </w:p>
        </w:tc>
        <w:tc>
          <w:tcPr>
            <w:tcW w:w="0" w:type="auto"/>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w:t>
            </w:r>
          </w:p>
        </w:tc>
        <w:tc>
          <w:tcPr>
            <w:tcW w:w="0" w:type="auto"/>
            <w:tcMar>
              <w:top w:w="0" w:type="dxa"/>
              <w:left w:w="0" w:type="dxa"/>
              <w:bottom w:w="0" w:type="dxa"/>
              <w:right w:w="0" w:type="dxa"/>
            </w:tcMar>
            <w:vAlign w:val="center"/>
          </w:tcPr>
          <w:p w:rsidR="00C4084C" w:rsidRPr="00215496" w:rsidRDefault="00DB3A4F">
            <w:pPr>
              <w:rPr>
                <w:lang w:val="en-GB"/>
              </w:rPr>
            </w:pPr>
            <w:r w:rsidRPr="00215496">
              <w:rPr>
                <w:sz w:val="18"/>
                <w:szCs w:val="18"/>
                <w:lang w:val="en-GB"/>
              </w:rPr>
              <w:t>22 days remaining until your tender notice shall be made</w:t>
            </w:r>
          </w:p>
        </w:tc>
      </w:tr>
    </w:tbl>
    <w:p w:rsidR="00C4084C" w:rsidRPr="00215496" w:rsidRDefault="00DB3A4F">
      <w:pPr>
        <w:spacing w:after="240" w:line="340" w:lineRule="atLeast"/>
        <w:rPr>
          <w:lang w:val="en-GB"/>
        </w:rPr>
      </w:pPr>
      <w:r w:rsidRPr="00215496">
        <w:rPr>
          <w:rFonts w:ascii="Helvetica" w:eastAsia="Helvetica" w:hAnsi="Helvetica" w:cs="Helvetica"/>
          <w:sz w:val="18"/>
          <w:szCs w:val="18"/>
          <w:lang w:val="en-GB"/>
        </w:rPr>
        <w:t> </w:t>
      </w:r>
    </w:p>
    <w:tbl>
      <w:tblPr>
        <w:tblW w:w="5000" w:type="pct"/>
        <w:tblCellMar>
          <w:left w:w="0" w:type="dxa"/>
          <w:right w:w="0" w:type="dxa"/>
        </w:tblCellMar>
        <w:tblLook w:val="0000"/>
      </w:tblPr>
      <w:tblGrid>
        <w:gridCol w:w="9406"/>
      </w:tblGrid>
      <w:tr w:rsidR="00C4084C" w:rsidRPr="00215496">
        <w:tc>
          <w:tcPr>
            <w:tcW w:w="0" w:type="auto"/>
            <w:tcMar>
              <w:top w:w="0" w:type="dxa"/>
              <w:left w:w="0" w:type="dxa"/>
              <w:bottom w:w="0" w:type="dxa"/>
              <w:right w:w="0" w:type="dxa"/>
            </w:tcMar>
            <w:vAlign w:val="center"/>
          </w:tcPr>
          <w:p w:rsidR="00C4084C" w:rsidRPr="00215496" w:rsidRDefault="00DB3A4F">
            <w:pPr>
              <w:spacing w:line="240" w:lineRule="atLeast"/>
              <w:jc w:val="center"/>
              <w:rPr>
                <w:lang w:val="en-GB"/>
              </w:rPr>
            </w:pPr>
            <w:r w:rsidRPr="00215496">
              <w:rPr>
                <w:rFonts w:ascii="Helvetica" w:eastAsia="Helvetica" w:hAnsi="Helvetica" w:cs="Helvetica"/>
                <w:b/>
                <w:bCs/>
                <w:sz w:val="20"/>
                <w:szCs w:val="20"/>
                <w:lang w:val="en-GB"/>
              </w:rPr>
              <w:t xml:space="preserve">ÇEKMEKÖY–SANCAKTEPE-SULTANBEYLİ METRO AND SARIGAZİ (HASTANE)-TAŞDELEN-YENİDOĞAN METRO CONSTRUCTION AND ELECTROMECHANICAL SYSTEMS PROCUREMENT, INSTALLATION AND COMMISSIONING WORKS </w:t>
            </w:r>
          </w:p>
          <w:p w:rsidR="00C4084C" w:rsidRPr="00215496" w:rsidRDefault="00DB3A4F">
            <w:pPr>
              <w:spacing w:line="240" w:lineRule="atLeast"/>
              <w:jc w:val="both"/>
              <w:rPr>
                <w:lang w:val="en-GB"/>
              </w:rPr>
            </w:pPr>
            <w:r w:rsidRPr="00215496">
              <w:rPr>
                <w:rFonts w:ascii="Helvetica" w:eastAsia="Helvetica" w:hAnsi="Helvetica" w:cs="Helvetica"/>
                <w:b/>
                <w:bCs/>
                <w:sz w:val="20"/>
                <w:szCs w:val="20"/>
                <w:u w:val="single"/>
                <w:lang w:val="en-GB"/>
              </w:rPr>
              <w:t>ISTANBUL METROPOLITAN MUNICIPALITY DIRECTORATE OF RAIL SYSTEMS ON THE ASIAN SIDE</w:t>
            </w:r>
            <w:r w:rsidRPr="00215496">
              <w:rPr>
                <w:lang w:val="en-GB"/>
              </w:rPr>
              <w:br/>
            </w:r>
            <w:r w:rsidRPr="00215496">
              <w:rPr>
                <w:lang w:val="en-GB"/>
              </w:rPr>
              <w:br/>
            </w:r>
            <w:proofErr w:type="spellStart"/>
            <w:r w:rsidRPr="00215496">
              <w:rPr>
                <w:lang w:val="en-GB"/>
              </w:rPr>
              <w:t>Çekmeköy-Sancaktepe-Sultanbeyli</w:t>
            </w:r>
            <w:proofErr w:type="spellEnd"/>
            <w:r w:rsidRPr="00215496">
              <w:rPr>
                <w:lang w:val="en-GB"/>
              </w:rPr>
              <w:t xml:space="preserve"> Metro and </w:t>
            </w:r>
            <w:proofErr w:type="spellStart"/>
            <w:r w:rsidRPr="00215496">
              <w:rPr>
                <w:lang w:val="en-GB"/>
              </w:rPr>
              <w:t>Sarıgazi</w:t>
            </w:r>
            <w:proofErr w:type="spellEnd"/>
            <w:r w:rsidRPr="00215496">
              <w:rPr>
                <w:lang w:val="en-GB"/>
              </w:rPr>
              <w:t xml:space="preserve"> (</w:t>
            </w:r>
            <w:proofErr w:type="spellStart"/>
            <w:r w:rsidRPr="00215496">
              <w:rPr>
                <w:lang w:val="en-GB"/>
              </w:rPr>
              <w:t>Hastane</w:t>
            </w:r>
            <w:proofErr w:type="spellEnd"/>
            <w:r w:rsidRPr="00215496">
              <w:rPr>
                <w:lang w:val="en-GB"/>
              </w:rPr>
              <w:t>)-</w:t>
            </w:r>
            <w:proofErr w:type="spellStart"/>
            <w:r w:rsidRPr="00215496">
              <w:rPr>
                <w:lang w:val="en-GB"/>
              </w:rPr>
              <w:t>Taşdelen-Yenidoğan</w:t>
            </w:r>
            <w:proofErr w:type="spellEnd"/>
            <w:r w:rsidRPr="00215496">
              <w:rPr>
                <w:lang w:val="en-GB"/>
              </w:rPr>
              <w:t xml:space="preserve"> Metro Construction and Electromechanical Systems Procurement, Installation and Commissioning Works will be put out to open tender among specific bidders according to Public Tender Act numbered 4734 and article numbered 20.</w:t>
            </w:r>
            <w:r w:rsidRPr="00215496">
              <w:rPr>
                <w:lang w:val="en-GB"/>
              </w:rPr>
              <w:br/>
            </w:r>
            <w:r w:rsidRPr="00215496">
              <w:rPr>
                <w:rFonts w:ascii="Helvetica" w:eastAsia="Helvetica" w:hAnsi="Helvetica" w:cs="Helvetica"/>
                <w:sz w:val="20"/>
                <w:szCs w:val="20"/>
                <w:lang w:val="en-GB"/>
              </w:rPr>
              <w:t>7 bidders who are found to be in compliance with criteria specified in pre-qualification terms and conditions will be ranked and invited to make an offer after pre-qualification rating. </w:t>
            </w:r>
            <w:r w:rsidRPr="00215496">
              <w:rPr>
                <w:lang w:val="en-GB"/>
              </w:rPr>
              <w:br/>
            </w:r>
            <w:r w:rsidRPr="00215496">
              <w:rPr>
                <w:rFonts w:ascii="Helvetica" w:eastAsia="Helvetica" w:hAnsi="Helvetica" w:cs="Helvetica"/>
                <w:sz w:val="20"/>
                <w:szCs w:val="20"/>
                <w:lang w:val="en-GB"/>
              </w:rPr>
              <w:t>Detailed information on tender is listed below.  </w:t>
            </w:r>
          </w:p>
          <w:tbl>
            <w:tblPr>
              <w:tblW w:w="5000" w:type="pct"/>
              <w:tblCellMar>
                <w:left w:w="0" w:type="dxa"/>
                <w:right w:w="0" w:type="dxa"/>
              </w:tblCellMar>
              <w:tblLook w:val="0000"/>
            </w:tblPr>
            <w:tblGrid>
              <w:gridCol w:w="3300"/>
              <w:gridCol w:w="94"/>
              <w:gridCol w:w="6012"/>
            </w:tblGrid>
            <w:tr w:rsidR="00C4084C" w:rsidRPr="00215496">
              <w:tc>
                <w:tcPr>
                  <w:tcW w:w="3300" w:type="dxa"/>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Tender Registration Number:</w:t>
                  </w:r>
                </w:p>
              </w:tc>
              <w:tc>
                <w:tcPr>
                  <w:tcW w:w="50" w:type="pct"/>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w:t>
                  </w:r>
                </w:p>
              </w:tc>
              <w:tc>
                <w:tcPr>
                  <w:tcW w:w="0" w:type="auto"/>
                  <w:tcMar>
                    <w:top w:w="45" w:type="dxa"/>
                    <w:left w:w="0" w:type="dxa"/>
                    <w:bottom w:w="0" w:type="dxa"/>
                    <w:right w:w="0" w:type="dxa"/>
                  </w:tcMar>
                  <w:vAlign w:val="center"/>
                </w:tcPr>
                <w:p w:rsidR="00C4084C" w:rsidRPr="00215496" w:rsidRDefault="00926339">
                  <w:pPr>
                    <w:spacing w:line="240" w:lineRule="atLeast"/>
                    <w:jc w:val="both"/>
                    <w:rPr>
                      <w:lang w:val="en-GB"/>
                    </w:rPr>
                  </w:pPr>
                  <w:r w:rsidRPr="00926339">
                    <w:rPr>
                      <w:b/>
                      <w:bCs/>
                      <w:sz w:val="20"/>
                      <w:szCs w:val="20"/>
                    </w:rPr>
                    <w:t>2016/311083</w:t>
                  </w:r>
                </w:p>
              </w:tc>
            </w:tr>
          </w:tbl>
          <w:p w:rsidR="00C4084C" w:rsidRPr="00215496" w:rsidRDefault="00DB3A4F">
            <w:pPr>
              <w:spacing w:line="240" w:lineRule="atLeast"/>
              <w:jc w:val="both"/>
              <w:rPr>
                <w:lang w:val="en-GB"/>
              </w:rPr>
            </w:pPr>
            <w:r w:rsidRPr="00215496">
              <w:rPr>
                <w:rFonts w:ascii="Helvetica" w:eastAsia="Helvetica" w:hAnsi="Helvetica" w:cs="Helvetica"/>
                <w:sz w:val="20"/>
                <w:szCs w:val="20"/>
                <w:lang w:val="en-GB"/>
              </w:rPr>
              <w:t> </w:t>
            </w:r>
          </w:p>
          <w:tbl>
            <w:tblPr>
              <w:tblW w:w="5000" w:type="pct"/>
              <w:tblCellMar>
                <w:left w:w="0" w:type="dxa"/>
                <w:right w:w="0" w:type="dxa"/>
              </w:tblCellMar>
              <w:tblLook w:val="0000"/>
            </w:tblPr>
            <w:tblGrid>
              <w:gridCol w:w="3300"/>
              <w:gridCol w:w="94"/>
              <w:gridCol w:w="6012"/>
            </w:tblGrid>
            <w:tr w:rsidR="00C4084C" w:rsidRPr="00215496">
              <w:tc>
                <w:tcPr>
                  <w:tcW w:w="0" w:type="auto"/>
                  <w:gridSpan w:val="3"/>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1-Administration’s</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a)</w:t>
                  </w:r>
                  <w:r w:rsidRPr="00215496">
                    <w:rPr>
                      <w:sz w:val="20"/>
                      <w:szCs w:val="20"/>
                      <w:lang w:val="en-GB"/>
                    </w:rPr>
                    <w:t> Address</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proofErr w:type="spellStart"/>
                  <w:r w:rsidRPr="00215496">
                    <w:rPr>
                      <w:b/>
                      <w:bCs/>
                      <w:sz w:val="20"/>
                      <w:szCs w:val="20"/>
                      <w:lang w:val="en-GB"/>
                    </w:rPr>
                    <w:t>Seyrantepe</w:t>
                  </w:r>
                  <w:proofErr w:type="spellEnd"/>
                  <w:r w:rsidRPr="00215496">
                    <w:rPr>
                      <w:b/>
                      <w:bCs/>
                      <w:sz w:val="20"/>
                      <w:szCs w:val="20"/>
                      <w:lang w:val="en-GB"/>
                    </w:rPr>
                    <w:t xml:space="preserve"> Metro Tesisleri </w:t>
                  </w:r>
                  <w:proofErr w:type="spellStart"/>
                  <w:r w:rsidRPr="00215496">
                    <w:rPr>
                      <w:b/>
                      <w:bCs/>
                      <w:sz w:val="20"/>
                      <w:szCs w:val="20"/>
                      <w:lang w:val="en-GB"/>
                    </w:rPr>
                    <w:t>Huzur</w:t>
                  </w:r>
                  <w:proofErr w:type="spellEnd"/>
                  <w:r w:rsidRPr="00215496">
                    <w:rPr>
                      <w:b/>
                      <w:bCs/>
                      <w:sz w:val="20"/>
                      <w:szCs w:val="20"/>
                      <w:lang w:val="en-GB"/>
                    </w:rPr>
                    <w:t xml:space="preserve"> </w:t>
                  </w:r>
                  <w:proofErr w:type="spellStart"/>
                  <w:r w:rsidRPr="00215496">
                    <w:rPr>
                      <w:b/>
                      <w:bCs/>
                      <w:sz w:val="20"/>
                      <w:szCs w:val="20"/>
                      <w:lang w:val="en-GB"/>
                    </w:rPr>
                    <w:t>Mahallesi</w:t>
                  </w:r>
                  <w:proofErr w:type="spellEnd"/>
                  <w:r w:rsidRPr="00215496">
                    <w:rPr>
                      <w:b/>
                      <w:bCs/>
                      <w:sz w:val="20"/>
                      <w:szCs w:val="20"/>
                      <w:lang w:val="en-GB"/>
                    </w:rPr>
                    <w:t xml:space="preserve"> </w:t>
                  </w:r>
                  <w:proofErr w:type="spellStart"/>
                  <w:r w:rsidRPr="00215496">
                    <w:rPr>
                      <w:b/>
                      <w:bCs/>
                      <w:sz w:val="20"/>
                      <w:szCs w:val="20"/>
                      <w:lang w:val="en-GB"/>
                    </w:rPr>
                    <w:t>İstasyon</w:t>
                  </w:r>
                  <w:proofErr w:type="spellEnd"/>
                  <w:r w:rsidRPr="00215496">
                    <w:rPr>
                      <w:b/>
                      <w:bCs/>
                      <w:sz w:val="20"/>
                      <w:szCs w:val="20"/>
                      <w:lang w:val="en-GB"/>
                    </w:rPr>
                    <w:t xml:space="preserve"> </w:t>
                  </w:r>
                  <w:proofErr w:type="spellStart"/>
                  <w:r w:rsidRPr="00215496">
                    <w:rPr>
                      <w:b/>
                      <w:bCs/>
                      <w:sz w:val="20"/>
                      <w:szCs w:val="20"/>
                      <w:lang w:val="en-GB"/>
                    </w:rPr>
                    <w:t>Yolu</w:t>
                  </w:r>
                  <w:proofErr w:type="spellEnd"/>
                  <w:r w:rsidRPr="00215496">
                    <w:rPr>
                      <w:b/>
                      <w:bCs/>
                      <w:sz w:val="20"/>
                      <w:szCs w:val="20"/>
                      <w:lang w:val="en-GB"/>
                    </w:rPr>
                    <w:t xml:space="preserve"> </w:t>
                  </w:r>
                  <w:proofErr w:type="spellStart"/>
                  <w:r w:rsidRPr="00215496">
                    <w:rPr>
                      <w:b/>
                      <w:bCs/>
                      <w:sz w:val="20"/>
                      <w:szCs w:val="20"/>
                      <w:lang w:val="en-GB"/>
                    </w:rPr>
                    <w:t>Caddesi</w:t>
                  </w:r>
                  <w:proofErr w:type="spellEnd"/>
                  <w:r w:rsidRPr="00215496">
                    <w:rPr>
                      <w:b/>
                      <w:bCs/>
                      <w:sz w:val="20"/>
                      <w:szCs w:val="20"/>
                      <w:lang w:val="en-GB"/>
                    </w:rPr>
                    <w:t xml:space="preserve"> 34396 </w:t>
                  </w:r>
                  <w:proofErr w:type="spellStart"/>
                  <w:r w:rsidRPr="00215496">
                    <w:rPr>
                      <w:b/>
                      <w:bCs/>
                      <w:sz w:val="20"/>
                      <w:szCs w:val="20"/>
                      <w:lang w:val="en-GB"/>
                    </w:rPr>
                    <w:t>Seyrantepe</w:t>
                  </w:r>
                  <w:proofErr w:type="spellEnd"/>
                  <w:r w:rsidRPr="00215496">
                    <w:rPr>
                      <w:b/>
                      <w:bCs/>
                      <w:sz w:val="20"/>
                      <w:szCs w:val="20"/>
                      <w:lang w:val="en-GB"/>
                    </w:rPr>
                    <w:t xml:space="preserve"> ŞİŞLİ/İSTANBUL</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b)</w:t>
                  </w:r>
                  <w:r w:rsidRPr="00215496">
                    <w:rPr>
                      <w:sz w:val="20"/>
                      <w:szCs w:val="20"/>
                      <w:lang w:val="en-GB"/>
                    </w:rPr>
                    <w:t> Telephone and Fax Number</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2123126515 - 2124554373</w:t>
                  </w:r>
                </w:p>
              </w:tc>
            </w:tr>
            <w:tr w:rsidR="00C4084C" w:rsidRPr="00215496">
              <w:tc>
                <w:tcPr>
                  <w:tcW w:w="3300" w:type="dxa"/>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c)</w:t>
                  </w:r>
                  <w:r w:rsidRPr="00215496">
                    <w:rPr>
                      <w:lang w:val="en-GB"/>
                    </w:rPr>
                    <w:t> Electronic Mail Address</w:t>
                  </w:r>
                </w:p>
              </w:tc>
              <w:tc>
                <w:tcPr>
                  <w:tcW w:w="50" w:type="pct"/>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anadoluraylisistem@ibb.gov.tr</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ç)</w:t>
                  </w:r>
                  <w:r w:rsidRPr="00215496">
                    <w:rPr>
                      <w:sz w:val="20"/>
                      <w:szCs w:val="20"/>
                      <w:lang w:val="en-GB"/>
                    </w:rPr>
                    <w:t xml:space="preserve"> Internet address for pre-qualification and tender document </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https://ekap.kik.gov.tr/EKAP/</w:t>
                  </w:r>
                </w:p>
              </w:tc>
            </w:tr>
            <w:tr w:rsidR="00C4084C" w:rsidRPr="00215496">
              <w:tc>
                <w:tcPr>
                  <w:tcW w:w="0" w:type="auto"/>
                  <w:tcMar>
                    <w:top w:w="0" w:type="dxa"/>
                    <w:left w:w="0" w:type="dxa"/>
                    <w:bottom w:w="0" w:type="dxa"/>
                    <w:right w:w="0" w:type="dxa"/>
                  </w:tcMar>
                  <w:vAlign w:val="center"/>
                </w:tcPr>
                <w:p w:rsidR="00C4084C" w:rsidRPr="00215496" w:rsidRDefault="00C4084C">
                  <w:pPr>
                    <w:rPr>
                      <w:lang w:val="en-GB"/>
                    </w:rPr>
                  </w:pPr>
                </w:p>
              </w:tc>
              <w:tc>
                <w:tcPr>
                  <w:tcW w:w="0" w:type="auto"/>
                  <w:vAlign w:val="center"/>
                </w:tcPr>
                <w:p w:rsidR="00C4084C" w:rsidRPr="00215496" w:rsidRDefault="00C4084C">
                  <w:pPr>
                    <w:rPr>
                      <w:lang w:val="en-GB"/>
                    </w:rPr>
                  </w:pPr>
                </w:p>
              </w:tc>
              <w:tc>
                <w:tcPr>
                  <w:tcW w:w="0" w:type="auto"/>
                  <w:vAlign w:val="center"/>
                </w:tcPr>
                <w:p w:rsidR="00C4084C" w:rsidRPr="00215496" w:rsidRDefault="00C4084C">
                  <w:pPr>
                    <w:rPr>
                      <w:lang w:val="en-GB"/>
                    </w:rPr>
                  </w:pPr>
                </w:p>
              </w:tc>
            </w:tr>
          </w:tbl>
          <w:p w:rsidR="00C4084C" w:rsidRPr="00215496" w:rsidRDefault="00DB3A4F">
            <w:pPr>
              <w:spacing w:line="240" w:lineRule="atLeast"/>
              <w:jc w:val="both"/>
              <w:rPr>
                <w:lang w:val="en-GB"/>
              </w:rPr>
            </w:pPr>
            <w:r w:rsidRPr="00215496">
              <w:rPr>
                <w:lang w:val="en-GB"/>
              </w:rPr>
              <w:br/>
            </w:r>
            <w:r w:rsidRPr="00215496">
              <w:rPr>
                <w:rFonts w:ascii="Helvetica" w:eastAsia="Helvetica" w:hAnsi="Helvetica" w:cs="Helvetica"/>
                <w:b/>
                <w:bCs/>
                <w:sz w:val="20"/>
                <w:szCs w:val="20"/>
                <w:lang w:val="en-GB"/>
              </w:rPr>
              <w:t>2- Constructions works' (for pre-qualification):</w:t>
            </w:r>
          </w:p>
          <w:tbl>
            <w:tblPr>
              <w:tblW w:w="5000" w:type="pct"/>
              <w:tblCellMar>
                <w:left w:w="0" w:type="dxa"/>
                <w:right w:w="0" w:type="dxa"/>
              </w:tblCellMar>
              <w:tblLook w:val="0000"/>
            </w:tblPr>
            <w:tblGrid>
              <w:gridCol w:w="3300"/>
              <w:gridCol w:w="94"/>
              <w:gridCol w:w="6012"/>
            </w:tblGrid>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a)</w:t>
                  </w:r>
                  <w:r w:rsidRPr="00215496">
                    <w:rPr>
                      <w:sz w:val="20"/>
                      <w:szCs w:val="20"/>
                      <w:lang w:val="en-GB"/>
                    </w:rPr>
                    <w:t> Qualification, type and amount</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proofErr w:type="spellStart"/>
                  <w:r w:rsidRPr="00215496">
                    <w:rPr>
                      <w:b/>
                      <w:bCs/>
                      <w:sz w:val="20"/>
                      <w:szCs w:val="20"/>
                      <w:lang w:val="en-GB"/>
                    </w:rPr>
                    <w:t>Çekmeköy-Sancaktepe-Sultanbeyli</w:t>
                  </w:r>
                  <w:proofErr w:type="spellEnd"/>
                  <w:r w:rsidRPr="00215496">
                    <w:rPr>
                      <w:b/>
                      <w:bCs/>
                      <w:sz w:val="20"/>
                      <w:szCs w:val="20"/>
                      <w:lang w:val="en-GB"/>
                    </w:rPr>
                    <w:t xml:space="preserve"> Metro and </w:t>
                  </w:r>
                  <w:proofErr w:type="spellStart"/>
                  <w:r w:rsidRPr="00215496">
                    <w:rPr>
                      <w:b/>
                      <w:bCs/>
                      <w:sz w:val="20"/>
                      <w:szCs w:val="20"/>
                      <w:lang w:val="en-GB"/>
                    </w:rPr>
                    <w:t>Sarıgazi</w:t>
                  </w:r>
                  <w:proofErr w:type="spellEnd"/>
                  <w:r w:rsidRPr="00215496">
                    <w:rPr>
                      <w:b/>
                      <w:bCs/>
                      <w:sz w:val="20"/>
                      <w:szCs w:val="20"/>
                      <w:lang w:val="en-GB"/>
                    </w:rPr>
                    <w:t xml:space="preserve"> (</w:t>
                  </w:r>
                  <w:proofErr w:type="spellStart"/>
                  <w:r w:rsidRPr="00215496">
                    <w:rPr>
                      <w:b/>
                      <w:bCs/>
                      <w:sz w:val="20"/>
                      <w:szCs w:val="20"/>
                      <w:lang w:val="en-GB"/>
                    </w:rPr>
                    <w:t>Hastane</w:t>
                  </w:r>
                  <w:proofErr w:type="spellEnd"/>
                  <w:r w:rsidRPr="00215496">
                    <w:rPr>
                      <w:b/>
                      <w:bCs/>
                      <w:sz w:val="20"/>
                      <w:szCs w:val="20"/>
                      <w:lang w:val="en-GB"/>
                    </w:rPr>
                    <w:t>)-</w:t>
                  </w:r>
                  <w:proofErr w:type="spellStart"/>
                  <w:r w:rsidRPr="00215496">
                    <w:rPr>
                      <w:b/>
                      <w:bCs/>
                      <w:sz w:val="20"/>
                      <w:szCs w:val="20"/>
                      <w:lang w:val="en-GB"/>
                    </w:rPr>
                    <w:t>Taşdelen-Yenidoğan</w:t>
                  </w:r>
                  <w:proofErr w:type="spellEnd"/>
                  <w:r w:rsidRPr="00215496">
                    <w:rPr>
                      <w:b/>
                      <w:bCs/>
                      <w:sz w:val="20"/>
                      <w:szCs w:val="20"/>
                      <w:lang w:val="en-GB"/>
                    </w:rPr>
                    <w:t xml:space="preserve"> Metro Construction and Electromechanical Systems Procurement, Installation and Commissioning Works with 14 stations and length of 17,8 km</w:t>
                  </w:r>
                  <w:r w:rsidRPr="00215496">
                    <w:rPr>
                      <w:lang w:val="en-GB"/>
                    </w:rPr>
                    <w:br/>
                  </w:r>
                  <w:r w:rsidRPr="00215496">
                    <w:rPr>
                      <w:b/>
                      <w:bCs/>
                      <w:sz w:val="20"/>
                      <w:szCs w:val="20"/>
                      <w:lang w:val="en-GB"/>
                    </w:rPr>
                    <w:t>Detailed information can be reached via administrative specifications that is included in the tender document on EKAP.</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b)</w:t>
                  </w:r>
                  <w:r w:rsidRPr="00215496">
                    <w:rPr>
                      <w:sz w:val="20"/>
                      <w:szCs w:val="20"/>
                      <w:lang w:val="en-GB"/>
                    </w:rPr>
                    <w:t> Location</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proofErr w:type="spellStart"/>
                  <w:r w:rsidRPr="00215496">
                    <w:rPr>
                      <w:b/>
                      <w:bCs/>
                      <w:sz w:val="20"/>
                      <w:szCs w:val="20"/>
                      <w:lang w:val="en-GB"/>
                    </w:rPr>
                    <w:t>İstanbul</w:t>
                  </w:r>
                  <w:proofErr w:type="spellEnd"/>
                  <w:r w:rsidRPr="00215496">
                    <w:rPr>
                      <w:b/>
                      <w:bCs/>
                      <w:sz w:val="20"/>
                      <w:szCs w:val="20"/>
                      <w:lang w:val="en-GB"/>
                    </w:rPr>
                    <w:t xml:space="preserve"> Asian Side</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c)</w:t>
                  </w:r>
                  <w:r w:rsidRPr="00215496">
                    <w:rPr>
                      <w:sz w:val="20"/>
                      <w:szCs w:val="20"/>
                      <w:lang w:val="en-GB"/>
                    </w:rPr>
                    <w:t xml:space="preserve"> Start date</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sz w:val="20"/>
                      <w:szCs w:val="20"/>
                      <w:lang w:val="en-GB"/>
                    </w:rPr>
                    <w:t xml:space="preserve">The work is supposed to start within </w:t>
                  </w:r>
                  <w:r w:rsidRPr="00215496">
                    <w:rPr>
                      <w:b/>
                      <w:bCs/>
                      <w:sz w:val="20"/>
                      <w:szCs w:val="20"/>
                      <w:lang w:val="en-GB"/>
                    </w:rPr>
                    <w:t>15</w:t>
                  </w:r>
                  <w:r w:rsidRPr="00215496">
                    <w:rPr>
                      <w:sz w:val="20"/>
                      <w:szCs w:val="20"/>
                      <w:lang w:val="en-GB"/>
                    </w:rPr>
                    <w:t> days after </w:t>
                  </w:r>
                  <w:r w:rsidRPr="00215496">
                    <w:rPr>
                      <w:lang w:val="en-GB"/>
                    </w:rPr>
                    <w:br/>
                  </w:r>
                  <w:r w:rsidRPr="00215496">
                    <w:rPr>
                      <w:sz w:val="20"/>
                      <w:szCs w:val="20"/>
                      <w:lang w:val="en-GB"/>
                    </w:rPr>
                    <w:t>the signing of the agreement by site delivery</w:t>
                  </w:r>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ç)</w:t>
                  </w:r>
                  <w:r w:rsidRPr="00215496">
                    <w:rPr>
                      <w:sz w:val="20"/>
                      <w:szCs w:val="20"/>
                      <w:lang w:val="en-GB"/>
                    </w:rPr>
                    <w:t xml:space="preserve"> Delivery date</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rsidP="00926339">
                  <w:pPr>
                    <w:spacing w:line="240" w:lineRule="atLeast"/>
                    <w:jc w:val="both"/>
                    <w:rPr>
                      <w:lang w:val="en-GB"/>
                    </w:rPr>
                  </w:pPr>
                  <w:r w:rsidRPr="00926339">
                    <w:rPr>
                      <w:lang w:val="en-GB"/>
                    </w:rPr>
                    <w:t xml:space="preserve">1020 (one thousand and </w:t>
                  </w:r>
                  <w:r w:rsidR="00926339" w:rsidRPr="00926339">
                    <w:rPr>
                      <w:lang w:val="en-GB"/>
                    </w:rPr>
                    <w:t>twenty</w:t>
                  </w:r>
                  <w:r w:rsidRPr="00926339">
                    <w:rPr>
                      <w:lang w:val="en-GB"/>
                    </w:rPr>
                    <w:t>)</w:t>
                  </w:r>
                  <w:r w:rsidRPr="00215496">
                    <w:rPr>
                      <w:lang w:val="en-GB"/>
                    </w:rPr>
                    <w:t xml:space="preserve"> calendar days after site delivery</w:t>
                  </w:r>
                </w:p>
              </w:tc>
            </w:tr>
          </w:tbl>
          <w:p w:rsidR="00C4084C" w:rsidRPr="00215496" w:rsidRDefault="00DB3A4F">
            <w:pPr>
              <w:spacing w:line="240" w:lineRule="atLeast"/>
              <w:jc w:val="both"/>
              <w:rPr>
                <w:lang w:val="en-GB"/>
              </w:rPr>
            </w:pPr>
            <w:r w:rsidRPr="00215496">
              <w:rPr>
                <w:lang w:val="en-GB"/>
              </w:rPr>
              <w:br/>
            </w:r>
            <w:r w:rsidRPr="00215496">
              <w:rPr>
                <w:rFonts w:ascii="Helvetica" w:eastAsia="Helvetica" w:hAnsi="Helvetica" w:cs="Helvetica"/>
                <w:b/>
                <w:bCs/>
                <w:sz w:val="20"/>
                <w:szCs w:val="20"/>
                <w:lang w:val="en-GB"/>
              </w:rPr>
              <w:t>3- Pre-qualification rating's</w:t>
            </w:r>
          </w:p>
          <w:tbl>
            <w:tblPr>
              <w:tblW w:w="5000" w:type="pct"/>
              <w:tblCellMar>
                <w:left w:w="0" w:type="dxa"/>
                <w:right w:w="0" w:type="dxa"/>
              </w:tblCellMar>
              <w:tblLook w:val="0000"/>
            </w:tblPr>
            <w:tblGrid>
              <w:gridCol w:w="3300"/>
              <w:gridCol w:w="94"/>
              <w:gridCol w:w="6012"/>
            </w:tblGrid>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a)</w:t>
                  </w:r>
                  <w:r w:rsidRPr="00215496">
                    <w:rPr>
                      <w:sz w:val="20"/>
                      <w:szCs w:val="20"/>
                      <w:lang w:val="en-GB"/>
                    </w:rPr>
                    <w:t>Place of Conduct</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proofErr w:type="spellStart"/>
                  <w:r w:rsidRPr="00215496">
                    <w:rPr>
                      <w:b/>
                      <w:bCs/>
                      <w:sz w:val="20"/>
                      <w:szCs w:val="20"/>
                      <w:lang w:val="en-GB"/>
                    </w:rPr>
                    <w:t>İstanbul</w:t>
                  </w:r>
                  <w:proofErr w:type="spellEnd"/>
                  <w:r w:rsidRPr="00215496">
                    <w:rPr>
                      <w:b/>
                      <w:bCs/>
                      <w:sz w:val="20"/>
                      <w:szCs w:val="20"/>
                      <w:lang w:val="en-GB"/>
                    </w:rPr>
                    <w:t xml:space="preserve"> </w:t>
                  </w:r>
                  <w:proofErr w:type="spellStart"/>
                  <w:r w:rsidRPr="00215496">
                    <w:rPr>
                      <w:b/>
                      <w:bCs/>
                      <w:sz w:val="20"/>
                      <w:szCs w:val="20"/>
                      <w:lang w:val="en-GB"/>
                    </w:rPr>
                    <w:t>Büyükşehir</w:t>
                  </w:r>
                  <w:proofErr w:type="spellEnd"/>
                  <w:r w:rsidRPr="00215496">
                    <w:rPr>
                      <w:b/>
                      <w:bCs/>
                      <w:sz w:val="20"/>
                      <w:szCs w:val="20"/>
                      <w:lang w:val="en-GB"/>
                    </w:rPr>
                    <w:t xml:space="preserve"> </w:t>
                  </w:r>
                  <w:proofErr w:type="spellStart"/>
                  <w:r w:rsidRPr="00215496">
                    <w:rPr>
                      <w:b/>
                      <w:bCs/>
                      <w:sz w:val="20"/>
                      <w:szCs w:val="20"/>
                      <w:lang w:val="en-GB"/>
                    </w:rPr>
                    <w:t>Belediyesi</w:t>
                  </w:r>
                  <w:proofErr w:type="spellEnd"/>
                  <w:r w:rsidRPr="00215496">
                    <w:rPr>
                      <w:b/>
                      <w:bCs/>
                      <w:sz w:val="20"/>
                      <w:szCs w:val="20"/>
                      <w:lang w:val="en-GB"/>
                    </w:rPr>
                    <w:t xml:space="preserve"> </w:t>
                  </w:r>
                  <w:proofErr w:type="spellStart"/>
                  <w:r w:rsidRPr="00215496">
                    <w:rPr>
                      <w:b/>
                      <w:bCs/>
                      <w:sz w:val="20"/>
                      <w:szCs w:val="20"/>
                      <w:lang w:val="en-GB"/>
                    </w:rPr>
                    <w:t>İhale</w:t>
                  </w:r>
                  <w:proofErr w:type="spellEnd"/>
                  <w:r w:rsidRPr="00215496">
                    <w:rPr>
                      <w:b/>
                      <w:bCs/>
                      <w:sz w:val="20"/>
                      <w:szCs w:val="20"/>
                      <w:lang w:val="en-GB"/>
                    </w:rPr>
                    <w:t xml:space="preserve"> </w:t>
                  </w:r>
                  <w:proofErr w:type="spellStart"/>
                  <w:r w:rsidRPr="00215496">
                    <w:rPr>
                      <w:b/>
                      <w:bCs/>
                      <w:sz w:val="20"/>
                      <w:szCs w:val="20"/>
                      <w:lang w:val="en-GB"/>
                    </w:rPr>
                    <w:t>İşleri</w:t>
                  </w:r>
                  <w:proofErr w:type="spellEnd"/>
                  <w:r w:rsidRPr="00215496">
                    <w:rPr>
                      <w:b/>
                      <w:bCs/>
                      <w:sz w:val="20"/>
                      <w:szCs w:val="20"/>
                      <w:lang w:val="en-GB"/>
                    </w:rPr>
                    <w:t xml:space="preserve"> </w:t>
                  </w:r>
                  <w:proofErr w:type="spellStart"/>
                  <w:r w:rsidRPr="00215496">
                    <w:rPr>
                      <w:b/>
                      <w:bCs/>
                      <w:sz w:val="20"/>
                      <w:szCs w:val="20"/>
                      <w:lang w:val="en-GB"/>
                    </w:rPr>
                    <w:t>Müdürlüğü</w:t>
                  </w:r>
                  <w:proofErr w:type="spellEnd"/>
                  <w:r w:rsidRPr="00215496">
                    <w:rPr>
                      <w:b/>
                      <w:bCs/>
                      <w:sz w:val="20"/>
                      <w:szCs w:val="20"/>
                      <w:lang w:val="en-GB"/>
                    </w:rPr>
                    <w:t xml:space="preserve"> </w:t>
                  </w:r>
                  <w:proofErr w:type="spellStart"/>
                  <w:r w:rsidRPr="00215496">
                    <w:rPr>
                      <w:b/>
                      <w:bCs/>
                      <w:sz w:val="20"/>
                      <w:szCs w:val="20"/>
                      <w:lang w:val="en-GB"/>
                    </w:rPr>
                    <w:t>M.Nezihi</w:t>
                  </w:r>
                  <w:proofErr w:type="spellEnd"/>
                  <w:r w:rsidRPr="00215496">
                    <w:rPr>
                      <w:b/>
                      <w:bCs/>
                      <w:sz w:val="20"/>
                      <w:szCs w:val="20"/>
                      <w:lang w:val="en-GB"/>
                    </w:rPr>
                    <w:t xml:space="preserve"> </w:t>
                  </w:r>
                  <w:proofErr w:type="spellStart"/>
                  <w:r w:rsidRPr="00215496">
                    <w:rPr>
                      <w:b/>
                      <w:bCs/>
                      <w:sz w:val="20"/>
                      <w:szCs w:val="20"/>
                      <w:lang w:val="en-GB"/>
                    </w:rPr>
                    <w:t>Özmen</w:t>
                  </w:r>
                  <w:proofErr w:type="spellEnd"/>
                  <w:r w:rsidRPr="00215496">
                    <w:rPr>
                      <w:b/>
                      <w:bCs/>
                      <w:sz w:val="20"/>
                      <w:szCs w:val="20"/>
                      <w:lang w:val="en-GB"/>
                    </w:rPr>
                    <w:t xml:space="preserve"> </w:t>
                  </w:r>
                  <w:proofErr w:type="spellStart"/>
                  <w:r w:rsidRPr="00215496">
                    <w:rPr>
                      <w:b/>
                      <w:bCs/>
                      <w:sz w:val="20"/>
                      <w:szCs w:val="20"/>
                      <w:lang w:val="en-GB"/>
                    </w:rPr>
                    <w:t>Mahallesi</w:t>
                  </w:r>
                  <w:proofErr w:type="spellEnd"/>
                  <w:r w:rsidRPr="00215496">
                    <w:rPr>
                      <w:b/>
                      <w:bCs/>
                      <w:sz w:val="20"/>
                      <w:szCs w:val="20"/>
                      <w:lang w:val="en-GB"/>
                    </w:rPr>
                    <w:t xml:space="preserve"> </w:t>
                  </w:r>
                  <w:proofErr w:type="spellStart"/>
                  <w:r w:rsidRPr="00215496">
                    <w:rPr>
                      <w:b/>
                      <w:bCs/>
                      <w:sz w:val="20"/>
                      <w:szCs w:val="20"/>
                      <w:lang w:val="en-GB"/>
                    </w:rPr>
                    <w:t>Kasım</w:t>
                  </w:r>
                  <w:proofErr w:type="spellEnd"/>
                  <w:r w:rsidRPr="00215496">
                    <w:rPr>
                      <w:b/>
                      <w:bCs/>
                      <w:sz w:val="20"/>
                      <w:szCs w:val="20"/>
                      <w:lang w:val="en-GB"/>
                    </w:rPr>
                    <w:t xml:space="preserve"> Sk. No.62 34010 </w:t>
                  </w:r>
                  <w:proofErr w:type="spellStart"/>
                  <w:r w:rsidRPr="00215496">
                    <w:rPr>
                      <w:b/>
                      <w:bCs/>
                      <w:sz w:val="20"/>
                      <w:szCs w:val="20"/>
                      <w:lang w:val="en-GB"/>
                    </w:rPr>
                    <w:t>Merter</w:t>
                  </w:r>
                  <w:proofErr w:type="spellEnd"/>
                  <w:r w:rsidRPr="00215496">
                    <w:rPr>
                      <w:b/>
                      <w:bCs/>
                      <w:sz w:val="20"/>
                      <w:szCs w:val="20"/>
                      <w:lang w:val="en-GB"/>
                    </w:rPr>
                    <w:t xml:space="preserve">, </w:t>
                  </w:r>
                  <w:proofErr w:type="spellStart"/>
                  <w:r w:rsidRPr="00215496">
                    <w:rPr>
                      <w:b/>
                      <w:bCs/>
                      <w:sz w:val="20"/>
                      <w:szCs w:val="20"/>
                      <w:lang w:val="en-GB"/>
                    </w:rPr>
                    <w:t>Güngören</w:t>
                  </w:r>
                  <w:proofErr w:type="spellEnd"/>
                  <w:r w:rsidRPr="00215496">
                    <w:rPr>
                      <w:b/>
                      <w:bCs/>
                      <w:sz w:val="20"/>
                      <w:szCs w:val="20"/>
                      <w:lang w:val="en-GB"/>
                    </w:rPr>
                    <w:t xml:space="preserve">- </w:t>
                  </w:r>
                  <w:proofErr w:type="spellStart"/>
                  <w:r w:rsidRPr="00215496">
                    <w:rPr>
                      <w:b/>
                      <w:bCs/>
                      <w:sz w:val="20"/>
                      <w:szCs w:val="20"/>
                      <w:lang w:val="en-GB"/>
                    </w:rPr>
                    <w:t>İstanbul</w:t>
                  </w:r>
                  <w:proofErr w:type="spellEnd"/>
                </w:p>
              </w:tc>
            </w:tr>
            <w:tr w:rsidR="00C4084C" w:rsidRPr="00215496">
              <w:tc>
                <w:tcPr>
                  <w:tcW w:w="3300" w:type="dxa"/>
                  <w:tcMar>
                    <w:top w:w="45" w:type="dxa"/>
                    <w:left w:w="0" w:type="dxa"/>
                    <w:bottom w:w="0" w:type="dxa"/>
                    <w:right w:w="0" w:type="dxa"/>
                  </w:tcMar>
                </w:tcPr>
                <w:p w:rsidR="00C4084C" w:rsidRPr="00215496" w:rsidRDefault="00DB3A4F">
                  <w:pPr>
                    <w:spacing w:line="240" w:lineRule="atLeast"/>
                    <w:jc w:val="both"/>
                    <w:rPr>
                      <w:lang w:val="en-GB"/>
                    </w:rPr>
                  </w:pPr>
                  <w:r w:rsidRPr="00215496">
                    <w:rPr>
                      <w:b/>
                      <w:bCs/>
                      <w:sz w:val="20"/>
                      <w:szCs w:val="20"/>
                      <w:lang w:val="en-GB"/>
                    </w:rPr>
                    <w:t>b)</w:t>
                  </w:r>
                  <w:r w:rsidRPr="00215496">
                    <w:rPr>
                      <w:sz w:val="20"/>
                      <w:szCs w:val="20"/>
                      <w:lang w:val="en-GB"/>
                    </w:rPr>
                    <w:t>Date and Time</w:t>
                  </w:r>
                </w:p>
              </w:tc>
              <w:tc>
                <w:tcPr>
                  <w:tcW w:w="50" w:type="pct"/>
                  <w:tcMar>
                    <w:top w:w="45" w:type="dxa"/>
                    <w:left w:w="0" w:type="dxa"/>
                    <w:bottom w:w="0" w:type="dxa"/>
                    <w:right w:w="0" w:type="dxa"/>
                  </w:tcMar>
                </w:tcPr>
                <w:p w:rsidR="00C4084C" w:rsidRPr="00215496" w:rsidRDefault="00DB3A4F">
                  <w:pPr>
                    <w:spacing w:line="240" w:lineRule="atLeast"/>
                    <w:jc w:val="both"/>
                    <w:rPr>
                      <w:lang w:val="en-GB"/>
                    </w:rPr>
                  </w:pPr>
                  <w:r w:rsidRPr="00215496">
                    <w:rPr>
                      <w:sz w:val="20"/>
                      <w:szCs w:val="20"/>
                      <w:lang w:val="en-GB"/>
                    </w:rPr>
                    <w:t>:</w:t>
                  </w:r>
                </w:p>
              </w:tc>
              <w:tc>
                <w:tcPr>
                  <w:tcW w:w="0" w:type="auto"/>
                  <w:tcMar>
                    <w:top w:w="45" w:type="dxa"/>
                    <w:left w:w="0" w:type="dxa"/>
                    <w:bottom w:w="0" w:type="dxa"/>
                    <w:right w:w="0" w:type="dxa"/>
                  </w:tcMar>
                  <w:vAlign w:val="center"/>
                </w:tcPr>
                <w:p w:rsidR="00C4084C" w:rsidRPr="00215496" w:rsidRDefault="00926339">
                  <w:pPr>
                    <w:spacing w:line="240" w:lineRule="atLeast"/>
                    <w:jc w:val="both"/>
                    <w:rPr>
                      <w:lang w:val="en-GB"/>
                    </w:rPr>
                  </w:pPr>
                  <w:r>
                    <w:rPr>
                      <w:b/>
                      <w:bCs/>
                      <w:sz w:val="20"/>
                      <w:szCs w:val="20"/>
                      <w:lang w:val="en-GB"/>
                    </w:rPr>
                    <w:t>23.09.2016 - 10:0</w:t>
                  </w:r>
                  <w:r w:rsidR="00DB3A4F" w:rsidRPr="00215496">
                    <w:rPr>
                      <w:b/>
                      <w:bCs/>
                      <w:sz w:val="20"/>
                      <w:szCs w:val="20"/>
                      <w:lang w:val="en-GB"/>
                    </w:rPr>
                    <w:t>0</w:t>
                  </w:r>
                </w:p>
              </w:tc>
            </w:tr>
          </w:tbl>
          <w:p w:rsidR="00C4084C" w:rsidRPr="00215496" w:rsidRDefault="00DB3A4F">
            <w:pPr>
              <w:spacing w:line="240" w:lineRule="atLeast"/>
              <w:jc w:val="both"/>
              <w:rPr>
                <w:lang w:val="en-GB"/>
              </w:rPr>
            </w:pPr>
            <w:r w:rsidRPr="00215496">
              <w:rPr>
                <w:lang w:val="en-GB"/>
              </w:rPr>
              <w:br/>
            </w:r>
            <w:r w:rsidRPr="00215496">
              <w:rPr>
                <w:rFonts w:ascii="Helvetica" w:eastAsia="Helvetica" w:hAnsi="Helvetica" w:cs="Helvetica"/>
                <w:b/>
                <w:bCs/>
                <w:sz w:val="20"/>
                <w:szCs w:val="20"/>
                <w:lang w:val="en-GB"/>
              </w:rPr>
              <w:lastRenderedPageBreak/>
              <w:t>4. Terms and conditions of applying for pre-qualification rating, required documents and criteria for pre-qualification rating:</w:t>
            </w:r>
            <w:r w:rsidRPr="00215496">
              <w:rPr>
                <w:lang w:val="en-GB"/>
              </w:rPr>
              <w:br/>
              <w:t>4.1.</w:t>
            </w:r>
            <w:r w:rsidRPr="00215496">
              <w:rPr>
                <w:rFonts w:ascii="Helvetica" w:eastAsia="Helvetica" w:hAnsi="Helvetica" w:cs="Helvetica"/>
                <w:sz w:val="20"/>
                <w:szCs w:val="20"/>
                <w:lang w:val="en-GB"/>
              </w:rPr>
              <w:t>Terms and conditions of applying for pre-qualification rating and required documents:  </w:t>
            </w:r>
            <w:r w:rsidRPr="00215496">
              <w:rPr>
                <w:lang w:val="en-GB"/>
              </w:rPr>
              <w:br/>
              <w:t>4.1.1.</w:t>
            </w:r>
            <w:r w:rsidRPr="00215496">
              <w:rPr>
                <w:rFonts w:ascii="Helvetica" w:eastAsia="Helvetica" w:hAnsi="Helvetica" w:cs="Helvetica"/>
                <w:sz w:val="20"/>
                <w:szCs w:val="20"/>
                <w:lang w:val="en-GB"/>
              </w:rPr>
              <w:t>Certificate from the Chamber of Commerce and/or Chamber of Industry or Chamber of Merchants and Craftsmen where the company is registered in accordance with the legislation; </w:t>
            </w:r>
            <w:r w:rsidRPr="00215496">
              <w:rPr>
                <w:lang w:val="en-GB"/>
              </w:rPr>
              <w:br/>
              <w:t>4.1.1.1.</w:t>
            </w:r>
            <w:r w:rsidRPr="00215496">
              <w:rPr>
                <w:rFonts w:ascii="Helvetica" w:eastAsia="Helvetica" w:hAnsi="Helvetica" w:cs="Helvetica"/>
                <w:sz w:val="20"/>
                <w:szCs w:val="20"/>
                <w:lang w:val="en-GB"/>
              </w:rPr>
              <w:t>In case of a real person a document received within the year of the first tender notice , stating that the person in question is registered to the Chamber of Commerce and/or Industry or the Chamber of Profession, </w:t>
            </w:r>
            <w:r w:rsidRPr="00215496">
              <w:rPr>
                <w:lang w:val="en-GB"/>
              </w:rPr>
              <w:br/>
              <w:t>4.1.1.2.</w:t>
            </w:r>
            <w:r w:rsidRPr="00215496">
              <w:rPr>
                <w:rFonts w:ascii="Helvetica" w:eastAsia="Helvetica" w:hAnsi="Helvetica" w:cs="Helvetica"/>
                <w:sz w:val="20"/>
                <w:szCs w:val="20"/>
                <w:lang w:val="en-GB"/>
              </w:rPr>
              <w:t>In case of a legal person, a document received in the year, which the first announcement about the tender was made, from the Chamber of Commerce and/or Industry indicating that the legal person is registered in the record, </w:t>
            </w:r>
            <w:r w:rsidRPr="00215496">
              <w:rPr>
                <w:lang w:val="en-GB"/>
              </w:rPr>
              <w:br/>
              <w:t>4.1.2.</w:t>
            </w:r>
            <w:r w:rsidRPr="00215496">
              <w:rPr>
                <w:rFonts w:ascii="Helvetica" w:eastAsia="Helvetica" w:hAnsi="Helvetica" w:cs="Helvetica"/>
                <w:sz w:val="20"/>
                <w:szCs w:val="20"/>
                <w:lang w:val="en-GB"/>
              </w:rPr>
              <w:t>Signature Statement or Signature Circular showing the authority to bid. </w:t>
            </w:r>
            <w:r w:rsidRPr="00215496">
              <w:rPr>
                <w:lang w:val="en-GB"/>
              </w:rPr>
              <w:br/>
              <w:t>4.1.2.1.</w:t>
            </w:r>
            <w:r w:rsidRPr="00215496">
              <w:rPr>
                <w:rFonts w:ascii="Helvetica" w:eastAsia="Helvetica" w:hAnsi="Helvetica" w:cs="Helvetica"/>
                <w:sz w:val="20"/>
                <w:szCs w:val="20"/>
                <w:lang w:val="en-GB"/>
              </w:rPr>
              <w:t xml:space="preserve">{0}If the </w:t>
            </w:r>
            <w:proofErr w:type="spellStart"/>
            <w:r w:rsidRPr="00215496">
              <w:rPr>
                <w:rFonts w:ascii="Helvetica" w:eastAsia="Helvetica" w:hAnsi="Helvetica" w:cs="Helvetica"/>
                <w:sz w:val="20"/>
                <w:szCs w:val="20"/>
                <w:lang w:val="en-GB"/>
              </w:rPr>
              <w:t>tenderer</w:t>
            </w:r>
            <w:proofErr w:type="spellEnd"/>
            <w:r w:rsidRPr="00215496">
              <w:rPr>
                <w:rFonts w:ascii="Helvetica" w:eastAsia="Helvetica" w:hAnsi="Helvetica" w:cs="Helvetica"/>
                <w:sz w:val="20"/>
                <w:szCs w:val="20"/>
                <w:lang w:val="en-GB"/>
              </w:rPr>
              <w:t xml:space="preserve"> is a natural person, then notarized signature Statement is needed.{/0}{1} {/1} </w:t>
            </w:r>
            <w:r w:rsidRPr="00215496">
              <w:rPr>
                <w:lang w:val="en-GB"/>
              </w:rPr>
              <w:br/>
              <w:t>4.1.2.2.</w:t>
            </w:r>
            <w:r w:rsidRPr="00215496">
              <w:rPr>
                <w:rFonts w:ascii="Helvetica" w:eastAsia="Helvetica" w:hAnsi="Helvetica" w:cs="Helvetica"/>
                <w:sz w:val="20"/>
                <w:szCs w:val="20"/>
                <w:lang w:val="en-GB"/>
              </w:rPr>
              <w:t xml:space="preserve">If the </w:t>
            </w:r>
            <w:proofErr w:type="spellStart"/>
            <w:r w:rsidRPr="00215496">
              <w:rPr>
                <w:rFonts w:ascii="Helvetica" w:eastAsia="Helvetica" w:hAnsi="Helvetica" w:cs="Helvetica"/>
                <w:sz w:val="20"/>
                <w:szCs w:val="20"/>
                <w:lang w:val="en-GB"/>
              </w:rPr>
              <w:t>tenderer</w:t>
            </w:r>
            <w:proofErr w:type="spellEnd"/>
            <w:r w:rsidRPr="00215496">
              <w:rPr>
                <w:rFonts w:ascii="Helvetica" w:eastAsia="Helvetica" w:hAnsi="Helvetica" w:cs="Helvetica"/>
                <w:sz w:val="20"/>
                <w:szCs w:val="20"/>
                <w:lang w:val="en-GB"/>
              </w:rPr>
              <w:t xml:space="preserve"> is legal person, a Trade Registry Gazette showing the partners, members or founders of legal person and defining the current status of personnel working under the authority of legal person or, if this information is not present in a single Trade Registry Gazette, all Trade Registry Gazettes to include this information or documents confirming these points and notarized Signature Circular of this legal person are required, </w:t>
            </w:r>
            <w:r w:rsidRPr="00215496">
              <w:rPr>
                <w:lang w:val="en-GB"/>
              </w:rPr>
              <w:br/>
              <w:t xml:space="preserve">4.1.3. Letter of Proposal form and content of which is defined in the Administrative Specifications. </w:t>
            </w:r>
            <w:r w:rsidRPr="00215496">
              <w:rPr>
                <w:lang w:val="en-GB"/>
              </w:rPr>
              <w:br/>
              <w:t>4.1.4</w:t>
            </w:r>
            <w:r w:rsidRPr="00215496">
              <w:rPr>
                <w:rFonts w:ascii="Helvetica" w:eastAsia="Helvetica" w:hAnsi="Helvetica" w:cs="Helvetica"/>
                <w:sz w:val="20"/>
                <w:szCs w:val="20"/>
                <w:lang w:val="en-GB"/>
              </w:rPr>
              <w:t> </w:t>
            </w:r>
            <w:r w:rsidRPr="00215496">
              <w:rPr>
                <w:lang w:val="en-GB"/>
              </w:rPr>
              <w:t>If the document submitted by the legal entity to prove the professional experience belongs to the partner of the legal entity who owns more than 50 percent of the legal entity, a document shall be issued by trade registrar at the Turkish Union of Chambers and Commodity Exchanges, or chartered accountant, certified public accountant or notary public after the first date of the announcement verifying that this requirement has been met for more than a year without interruption.</w:t>
            </w:r>
            <w:r w:rsidRPr="00215496">
              <w:rPr>
                <w:rFonts w:ascii="Helvetica" w:eastAsia="Helvetica" w:hAnsi="Helvetica" w:cs="Helvetica"/>
                <w:sz w:val="20"/>
                <w:szCs w:val="20"/>
                <w:lang w:val="en-GB"/>
              </w:rPr>
              <w:t> </w:t>
            </w:r>
          </w:p>
          <w:tbl>
            <w:tblPr>
              <w:tblW w:w="5000" w:type="pct"/>
              <w:tblCellMar>
                <w:left w:w="0" w:type="dxa"/>
                <w:right w:w="0" w:type="dxa"/>
              </w:tblCellMar>
              <w:tblLook w:val="0000"/>
            </w:tblPr>
            <w:tblGrid>
              <w:gridCol w:w="9406"/>
            </w:tblGrid>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 xml:space="preserve">4.2. </w:t>
                  </w:r>
                  <w:r w:rsidRPr="00215496">
                    <w:rPr>
                      <w:lang w:val="en-GB"/>
                    </w:rPr>
                    <w:t>Documents concerning economic and financial adequacy and the criteria applying to those documents:</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4.2.1. Documents to be obtained from banks:</w:t>
                  </w:r>
                </w:p>
              </w:tc>
            </w:tr>
            <w:tr w:rsidR="00C4084C" w:rsidRPr="00215496">
              <w:tc>
                <w:tcPr>
                  <w:tcW w:w="0" w:type="auto"/>
                  <w:tcMar>
                    <w:top w:w="45" w:type="dxa"/>
                    <w:left w:w="0" w:type="dxa"/>
                    <w:bottom w:w="0" w:type="dxa"/>
                    <w:right w:w="0" w:type="dxa"/>
                  </w:tcMar>
                  <w:vAlign w:val="center"/>
                </w:tcPr>
                <w:p w:rsidR="00C4084C" w:rsidRPr="00215496" w:rsidRDefault="00DB3A4F" w:rsidP="00926339">
                  <w:pPr>
                    <w:spacing w:line="240" w:lineRule="atLeast"/>
                    <w:jc w:val="both"/>
                    <w:rPr>
                      <w:lang w:val="en-GB"/>
                    </w:rPr>
                  </w:pPr>
                  <w:r w:rsidRPr="00215496">
                    <w:rPr>
                      <w:lang w:val="en-GB"/>
                    </w:rPr>
                    <w:t xml:space="preserve">Banker’s reference letter, indicating unused cash credit, unused letter of guarantee or unrestricted deposited account no less than 75.000.000 </w:t>
                  </w:r>
                  <w:r w:rsidR="00926339" w:rsidRPr="003E42AF">
                    <w:rPr>
                      <w:lang w:val="en-GB"/>
                    </w:rPr>
                    <w:t xml:space="preserve">EUR (Euro) </w:t>
                  </w:r>
                  <w:r w:rsidRPr="00215496">
                    <w:rPr>
                      <w:lang w:val="en-GB"/>
                    </w:rPr>
                    <w:t xml:space="preserve"> </w:t>
                  </w:r>
                  <w:r w:rsidRPr="00215496">
                    <w:rPr>
                      <w:lang w:val="en-GB"/>
                    </w:rPr>
                    <w:br/>
                  </w:r>
                  <w:r w:rsidRPr="00215496">
                    <w:rPr>
                      <w:sz w:val="20"/>
                      <w:szCs w:val="20"/>
                      <w:lang w:val="en-GB"/>
                    </w:rPr>
                    <w:t xml:space="preserve">These criteria may be fulfilled by adding the deposit and credit amounts or presenting more than one banker’s reference letter. </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 xml:space="preserve">4.2.2. </w:t>
                  </w:r>
                  <w:r w:rsidRPr="00215496">
                    <w:rPr>
                      <w:lang w:val="en-GB"/>
                    </w:rPr>
                    <w:t>The year-end balance sheet of the bidder for the year before the tender or equivalent documents:</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sz w:val="20"/>
                      <w:szCs w:val="20"/>
                      <w:lang w:val="en-GB"/>
                    </w:rPr>
                    <w:t>a) In accordance with the respective regulations, for bidders who have the legal obligation to publish their balance sheets, year-end balance sheets or parts of sheets showing necessary criteria have been met,</w:t>
                  </w:r>
                  <w:r w:rsidRPr="00215496">
                    <w:rPr>
                      <w:lang w:val="en-GB"/>
                    </w:rPr>
                    <w:br/>
                  </w:r>
                  <w:r w:rsidRPr="00215496">
                    <w:rPr>
                      <w:sz w:val="20"/>
                      <w:szCs w:val="20"/>
                      <w:lang w:val="en-GB"/>
                    </w:rPr>
                    <w:t>b) In accordance with the respective regulations, for bidders who do not have the legal obligation to publish their balance sheets, year-end balance sheets or parts of sheets showing necessary criteria have been met or document in standard form regulated by certified public accountant or independent accountant and financial advisor showing that the criteria have been met.</w:t>
                  </w:r>
                  <w:r w:rsidRPr="00215496">
                    <w:rPr>
                      <w:lang w:val="en-GB"/>
                    </w:rPr>
                    <w:br/>
                  </w:r>
                  <w:r w:rsidRPr="00215496">
                    <w:rPr>
                      <w:sz w:val="20"/>
                      <w:szCs w:val="20"/>
                      <w:lang w:val="en-GB"/>
                    </w:rPr>
                    <w:t>In the balance sheets or equivalent certificates submitted; </w:t>
                  </w:r>
                  <w:r w:rsidRPr="00215496">
                    <w:rPr>
                      <w:lang w:val="en-GB"/>
                    </w:rPr>
                    <w:br/>
                  </w:r>
                  <w:r w:rsidRPr="00215496">
                    <w:rPr>
                      <w:sz w:val="20"/>
                      <w:szCs w:val="20"/>
                      <w:lang w:val="en-GB"/>
                    </w:rPr>
                    <w:t>a) The current ratio (current assets / short term liabilities) must be minimum 0.75, </w:t>
                  </w:r>
                  <w:r w:rsidRPr="00215496">
                    <w:rPr>
                      <w:lang w:val="en-GB"/>
                    </w:rPr>
                    <w:br/>
                  </w:r>
                  <w:r w:rsidRPr="00215496">
                    <w:rPr>
                      <w:sz w:val="20"/>
                      <w:szCs w:val="20"/>
                      <w:lang w:val="en-GB"/>
                    </w:rPr>
                    <w:t>b) The shareholders’ equity ratio (shareholders’ equity/ total assets) must be minimum 0.15, </w:t>
                  </w:r>
                  <w:r w:rsidRPr="00215496">
                    <w:rPr>
                      <w:lang w:val="en-GB"/>
                    </w:rPr>
                    <w:br/>
                  </w:r>
                  <w:r w:rsidRPr="00215496">
                    <w:rPr>
                      <w:sz w:val="20"/>
                      <w:szCs w:val="20"/>
                      <w:lang w:val="en-GB"/>
                    </w:rPr>
                    <w:t>c) The ratio of short term bank liabilities to the shareholders’ equity must be less than 0.50 and these three qualification criteria must be met altogether.  </w:t>
                  </w:r>
                  <w:r w:rsidRPr="00215496">
                    <w:rPr>
                      <w:lang w:val="en-GB"/>
                    </w:rPr>
                    <w:br/>
                    <w:t xml:space="preserve">Bidders who do not </w:t>
                  </w:r>
                  <w:proofErr w:type="spellStart"/>
                  <w:r w:rsidRPr="00215496">
                    <w:rPr>
                      <w:lang w:val="en-GB"/>
                    </w:rPr>
                    <w:t>fulfill</w:t>
                  </w:r>
                  <w:proofErr w:type="spellEnd"/>
                  <w:r w:rsidRPr="00215496">
                    <w:rPr>
                      <w:lang w:val="en-GB"/>
                    </w:rPr>
                    <w:t xml:space="preserve"> the fore-mentioned criteria for the previous year can also present the documents of the past three </w:t>
                  </w:r>
                  <w:proofErr w:type="spellStart"/>
                  <w:r w:rsidRPr="00215496">
                    <w:rPr>
                      <w:lang w:val="en-GB"/>
                    </w:rPr>
                    <w:t>years.In</w:t>
                  </w:r>
                  <w:proofErr w:type="spellEnd"/>
                  <w:r w:rsidRPr="00215496">
                    <w:rPr>
                      <w:lang w:val="en-GB"/>
                    </w:rPr>
                    <w:t xml:space="preserve"> this </w:t>
                  </w:r>
                  <w:proofErr w:type="gramStart"/>
                  <w:r w:rsidRPr="00215496">
                    <w:rPr>
                      <w:lang w:val="en-GB"/>
                    </w:rPr>
                    <w:t>case,</w:t>
                  </w:r>
                  <w:proofErr w:type="gramEnd"/>
                  <w:r w:rsidRPr="00215496">
                    <w:rPr>
                      <w:lang w:val="en-GB"/>
                    </w:rPr>
                    <w:t xml:space="preserve"> whether the average of those years </w:t>
                  </w:r>
                  <w:proofErr w:type="spellStart"/>
                  <w:r w:rsidRPr="00215496">
                    <w:rPr>
                      <w:lang w:val="en-GB"/>
                    </w:rPr>
                    <w:t>fulfills</w:t>
                  </w:r>
                  <w:proofErr w:type="spellEnd"/>
                  <w:r w:rsidRPr="00215496">
                    <w:rPr>
                      <w:lang w:val="en-GB"/>
                    </w:rPr>
                    <w:t xml:space="preserve"> the minimum criteria shall be taken into account.</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lastRenderedPageBreak/>
                    <w:t>4.2.3. Documents showing the volume of the business:</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sz w:val="20"/>
                      <w:szCs w:val="20"/>
                      <w:lang w:val="en-GB"/>
                    </w:rPr>
                    <w:t xml:space="preserve">The applicant shall submit any of the following documents corresponding to the year before the tender. </w:t>
                  </w:r>
                  <w:r w:rsidRPr="00215496">
                    <w:rPr>
                      <w:lang w:val="en-GB"/>
                    </w:rPr>
                    <w:br/>
                  </w:r>
                  <w:r w:rsidRPr="00215496">
                    <w:rPr>
                      <w:sz w:val="20"/>
                      <w:szCs w:val="20"/>
                      <w:lang w:val="en-GB"/>
                    </w:rPr>
                    <w:t>a) The income statement showing the total turnover of the bidder </w:t>
                  </w:r>
                  <w:r w:rsidRPr="00215496">
                    <w:rPr>
                      <w:lang w:val="en-GB"/>
                    </w:rPr>
                    <w:br/>
                  </w:r>
                  <w:r w:rsidRPr="00215496">
                    <w:rPr>
                      <w:sz w:val="20"/>
                      <w:szCs w:val="20"/>
                      <w:lang w:val="en-GB"/>
                    </w:rPr>
                    <w:t>b) The invoices, indicating the monetary value of the completed construction work or the completed parts of the construction work continuing under the commitment. </w:t>
                  </w:r>
                  <w:r w:rsidRPr="00215496">
                    <w:rPr>
                      <w:lang w:val="en-GB"/>
                    </w:rPr>
                    <w:br/>
                    <w:t xml:space="preserve">The turnover of the bidder should not be less than 165.000.000 </w:t>
                  </w:r>
                  <w:r w:rsidR="00926339" w:rsidRPr="003E42AF">
                    <w:rPr>
                      <w:lang w:val="en-GB"/>
                    </w:rPr>
                    <w:t xml:space="preserve">EUR (Euro) </w:t>
                  </w:r>
                  <w:r w:rsidRPr="00215496">
                    <w:rPr>
                      <w:lang w:val="en-GB"/>
                    </w:rPr>
                    <w:t xml:space="preserve">and the monetary value of the completed construction work or the completed parts of the construction work continuing under the commitment should not be less than 105.000.000 </w:t>
                  </w:r>
                  <w:r w:rsidR="00926339" w:rsidRPr="003E42AF">
                    <w:rPr>
                      <w:lang w:val="en-GB"/>
                    </w:rPr>
                    <w:t>EUR (Euro)</w:t>
                  </w:r>
                  <w:r w:rsidRPr="00215496">
                    <w:rPr>
                      <w:lang w:val="en-GB"/>
                    </w:rPr>
                    <w:t>. The candidate that meets one of the two criteria above and submits the document evidencing such shall be deemed as qualified in this regard.</w:t>
                  </w:r>
                  <w:r w:rsidRPr="00215496">
                    <w:rPr>
                      <w:lang w:val="en-GB"/>
                    </w:rPr>
                    <w:br/>
                  </w:r>
                  <w:r w:rsidRPr="00215496">
                    <w:rPr>
                      <w:sz w:val="20"/>
                      <w:szCs w:val="20"/>
                      <w:lang w:val="en-GB"/>
                    </w:rPr>
                    <w:t xml:space="preserve">The bidders who cannot </w:t>
                  </w:r>
                  <w:proofErr w:type="spellStart"/>
                  <w:r w:rsidRPr="00215496">
                    <w:rPr>
                      <w:sz w:val="20"/>
                      <w:szCs w:val="20"/>
                      <w:lang w:val="en-GB"/>
                    </w:rPr>
                    <w:t>fulfill</w:t>
                  </w:r>
                  <w:proofErr w:type="spellEnd"/>
                  <w:r w:rsidRPr="00215496">
                    <w:rPr>
                      <w:sz w:val="20"/>
                      <w:szCs w:val="20"/>
                      <w:lang w:val="en-GB"/>
                    </w:rPr>
                    <w:t xml:space="preserve"> the criteria mentioned above in the previous year may submit the documents of the last six successive years. In this case, it shall be taken into consideration whether the qualification criteria is fulfilled over </w:t>
                  </w:r>
                  <w:r w:rsidRPr="00215496">
                    <w:rPr>
                      <w:lang w:val="en-GB"/>
                    </w:rPr>
                    <w:t>the average of the monetary amount of the presented years.</w:t>
                  </w:r>
                </w:p>
              </w:tc>
            </w:tr>
          </w:tbl>
          <w:p w:rsidR="00C4084C" w:rsidRPr="00215496" w:rsidRDefault="00DB3A4F">
            <w:pPr>
              <w:spacing w:line="240" w:lineRule="atLeast"/>
              <w:jc w:val="both"/>
              <w:rPr>
                <w:lang w:val="en-GB"/>
              </w:rPr>
            </w:pPr>
            <w:r w:rsidRPr="00215496">
              <w:rPr>
                <w:rFonts w:ascii="Helvetica" w:eastAsia="Helvetica" w:hAnsi="Helvetica" w:cs="Helvetica"/>
                <w:sz w:val="20"/>
                <w:szCs w:val="20"/>
                <w:lang w:val="en-GB"/>
              </w:rPr>
              <w:t> </w:t>
            </w:r>
          </w:p>
          <w:tbl>
            <w:tblPr>
              <w:tblW w:w="5000" w:type="pct"/>
              <w:tblCellMar>
                <w:left w:w="0" w:type="dxa"/>
                <w:right w:w="0" w:type="dxa"/>
              </w:tblCellMar>
              <w:tblLook w:val="0000"/>
            </w:tblPr>
            <w:tblGrid>
              <w:gridCol w:w="9406"/>
            </w:tblGrid>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4.3. Documents regarding the Professional and Technical Qualification, and the criteria</w:t>
                  </w:r>
                  <w:r w:rsidRPr="00215496">
                    <w:rPr>
                      <w:lang w:val="en-GB"/>
                    </w:rPr>
                    <w:t xml:space="preserve"> that these documents should bear: </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4.3.1. Documents on work experience:</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lang w:val="en-GB"/>
                    </w:rPr>
                    <w:t xml:space="preserve">The documents evidencing that the experience of the bidder regarding the work subject to that tender or similar work completed within the last fifteen years under a contract that should not be less than 310.000.000 TRY </w:t>
                  </w:r>
                  <w:r w:rsidR="00926339" w:rsidRPr="003E42AF">
                    <w:rPr>
                      <w:lang w:val="en-GB"/>
                    </w:rPr>
                    <w:t>EUR (Euro)</w:t>
                  </w:r>
                </w:p>
              </w:tc>
            </w:tr>
          </w:tbl>
          <w:p w:rsidR="00C4084C" w:rsidRPr="00215496" w:rsidRDefault="00DB3A4F">
            <w:pPr>
              <w:spacing w:line="240" w:lineRule="atLeast"/>
              <w:jc w:val="both"/>
              <w:rPr>
                <w:lang w:val="en-GB"/>
              </w:rPr>
            </w:pPr>
            <w:r w:rsidRPr="00215496">
              <w:rPr>
                <w:rFonts w:ascii="Helvetica" w:eastAsia="Helvetica" w:hAnsi="Helvetica" w:cs="Helvetica"/>
                <w:sz w:val="20"/>
                <w:szCs w:val="20"/>
                <w:lang w:val="en-GB"/>
              </w:rPr>
              <w:t> </w:t>
            </w:r>
          </w:p>
          <w:tbl>
            <w:tblPr>
              <w:tblW w:w="5000" w:type="pct"/>
              <w:tblCellMar>
                <w:left w:w="0" w:type="dxa"/>
                <w:right w:w="0" w:type="dxa"/>
              </w:tblCellMar>
              <w:tblLook w:val="0000"/>
            </w:tblPr>
            <w:tblGrid>
              <w:gridCol w:w="9406"/>
            </w:tblGrid>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4.4.Engineering and architecture departments to be accepted as similar work or equivalent work in this tender:</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 xml:space="preserve">4.4.1. Works to be accepted as similar work: </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Works in group A VI (Railway Works (</w:t>
                  </w:r>
                  <w:proofErr w:type="spellStart"/>
                  <w:r w:rsidRPr="00215496">
                    <w:rPr>
                      <w:b/>
                      <w:bCs/>
                      <w:sz w:val="20"/>
                      <w:szCs w:val="20"/>
                      <w:lang w:val="en-GB"/>
                    </w:rPr>
                    <w:t>Infrastructure+Superstructure</w:t>
                  </w:r>
                  <w:proofErr w:type="spellEnd"/>
                  <w:r w:rsidRPr="00215496">
                    <w:rPr>
                      <w:b/>
                      <w:bCs/>
                      <w:sz w:val="20"/>
                      <w:szCs w:val="20"/>
                      <w:lang w:val="en-GB"/>
                    </w:rPr>
                    <w:t>) and/or in group D VI (Electrical Transportation Vehicles Technology) in the List of Similar Work Groups in Construction shall be accepted as similar works.</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4.4.2. Engineering and architecture departments to be accepted as equivalent work:</w:t>
                  </w:r>
                </w:p>
              </w:tc>
            </w:tr>
            <w:tr w:rsidR="00C4084C" w:rsidRPr="00215496">
              <w:tc>
                <w:tcPr>
                  <w:tcW w:w="0" w:type="auto"/>
                  <w:tcMar>
                    <w:top w:w="45" w:type="dxa"/>
                    <w:left w:w="0" w:type="dxa"/>
                    <w:bottom w:w="0" w:type="dxa"/>
                    <w:right w:w="0" w:type="dxa"/>
                  </w:tcMar>
                  <w:vAlign w:val="center"/>
                </w:tcPr>
                <w:p w:rsidR="00C4084C" w:rsidRPr="00215496" w:rsidRDefault="00DB3A4F">
                  <w:pPr>
                    <w:spacing w:line="240" w:lineRule="atLeast"/>
                    <w:jc w:val="both"/>
                    <w:rPr>
                      <w:lang w:val="en-GB"/>
                    </w:rPr>
                  </w:pPr>
                  <w:r w:rsidRPr="00215496">
                    <w:rPr>
                      <w:b/>
                      <w:bCs/>
                      <w:sz w:val="20"/>
                      <w:szCs w:val="20"/>
                      <w:lang w:val="en-GB"/>
                    </w:rPr>
                    <w:t>Civil Engineering, Topography Engineering, Electrical Engineering, Electronic Engineering, Mechanical Engineering or Architect diplomas.</w:t>
                  </w:r>
                </w:p>
              </w:tc>
            </w:tr>
          </w:tbl>
          <w:p w:rsidR="00C4084C" w:rsidRPr="00215496" w:rsidRDefault="00DB3A4F" w:rsidP="00215496">
            <w:pPr>
              <w:spacing w:line="240" w:lineRule="atLeast"/>
              <w:rPr>
                <w:lang w:val="en-GB"/>
              </w:rPr>
            </w:pPr>
            <w:r w:rsidRPr="00215496">
              <w:rPr>
                <w:lang w:val="en-GB"/>
              </w:rPr>
              <w:br/>
            </w:r>
            <w:proofErr w:type="gramStart"/>
            <w:r w:rsidRPr="00215496">
              <w:rPr>
                <w:lang w:val="en-GB"/>
              </w:rPr>
              <w:t>5.</w:t>
            </w:r>
            <w:r w:rsidRPr="00215496">
              <w:rPr>
                <w:rFonts w:ascii="Helvetica" w:eastAsia="Helvetica" w:hAnsi="Helvetica" w:cs="Helvetica"/>
                <w:sz w:val="20"/>
                <w:szCs w:val="20"/>
                <w:lang w:val="en-GB"/>
              </w:rPr>
              <w:t>The</w:t>
            </w:r>
            <w:proofErr w:type="gramEnd"/>
            <w:r w:rsidRPr="00215496">
              <w:rPr>
                <w:rFonts w:ascii="Helvetica" w:eastAsia="Helvetica" w:hAnsi="Helvetica" w:cs="Helvetica"/>
                <w:sz w:val="20"/>
                <w:szCs w:val="20"/>
                <w:lang w:val="en-GB"/>
              </w:rPr>
              <w:t xml:space="preserve"> tender is open to all domestic and foreign bidders.</w:t>
            </w:r>
            <w:r w:rsidRPr="00215496">
              <w:rPr>
                <w:lang w:val="en-GB"/>
              </w:rPr>
              <w:br/>
            </w:r>
            <w:r w:rsidRPr="00215496">
              <w:rPr>
                <w:lang w:val="en-GB"/>
              </w:rPr>
              <w:br/>
            </w:r>
            <w:r w:rsidRPr="00215496">
              <w:rPr>
                <w:lang w:val="en-GB"/>
              </w:rPr>
              <w:br/>
            </w:r>
            <w:proofErr w:type="gramStart"/>
            <w:r w:rsidRPr="00215496">
              <w:rPr>
                <w:lang w:val="en-GB"/>
              </w:rPr>
              <w:t>6.</w:t>
            </w:r>
            <w:r w:rsidRPr="00215496">
              <w:rPr>
                <w:rFonts w:ascii="Helvetica" w:eastAsia="Helvetica" w:hAnsi="Helvetica" w:cs="Helvetica"/>
                <w:sz w:val="20"/>
                <w:szCs w:val="20"/>
                <w:lang w:val="en-GB"/>
              </w:rPr>
              <w:t>Viewing</w:t>
            </w:r>
            <w:proofErr w:type="gramEnd"/>
            <w:r w:rsidRPr="00215496">
              <w:rPr>
                <w:rFonts w:ascii="Helvetica" w:eastAsia="Helvetica" w:hAnsi="Helvetica" w:cs="Helvetica"/>
                <w:sz w:val="20"/>
                <w:szCs w:val="20"/>
                <w:lang w:val="en-GB"/>
              </w:rPr>
              <w:t xml:space="preserve"> and Purchasing Pre-qualification document: </w:t>
            </w:r>
            <w:r w:rsidRPr="00215496">
              <w:rPr>
                <w:lang w:val="en-GB"/>
              </w:rPr>
              <w:br/>
              <w:t xml:space="preserve">6.1. Pre-qualification and Tender Document can be viewed at the premises of the Administration and it can be purchased at the Asian Side Rail Systems Directorate of Istanbul Metropolitan Municipality’s Department of Rail Systems located in </w:t>
            </w:r>
            <w:proofErr w:type="spellStart"/>
            <w:r w:rsidRPr="00215496">
              <w:rPr>
                <w:lang w:val="en-GB"/>
              </w:rPr>
              <w:t>Seyrantepe</w:t>
            </w:r>
            <w:proofErr w:type="spellEnd"/>
            <w:r w:rsidRPr="00215496">
              <w:rPr>
                <w:lang w:val="en-GB"/>
              </w:rPr>
              <w:t xml:space="preserve"> Metro Facilities </w:t>
            </w:r>
            <w:proofErr w:type="spellStart"/>
            <w:r w:rsidRPr="00215496">
              <w:rPr>
                <w:lang w:val="en-GB"/>
              </w:rPr>
              <w:t>Huzur</w:t>
            </w:r>
            <w:proofErr w:type="spellEnd"/>
            <w:r w:rsidRPr="00215496">
              <w:rPr>
                <w:lang w:val="en-GB"/>
              </w:rPr>
              <w:t xml:space="preserve"> </w:t>
            </w:r>
            <w:proofErr w:type="spellStart"/>
            <w:r w:rsidRPr="00215496">
              <w:rPr>
                <w:lang w:val="en-GB"/>
              </w:rPr>
              <w:t>Mahallesi</w:t>
            </w:r>
            <w:proofErr w:type="spellEnd"/>
            <w:r w:rsidRPr="00215496">
              <w:rPr>
                <w:lang w:val="en-GB"/>
              </w:rPr>
              <w:t xml:space="preserve"> </w:t>
            </w:r>
            <w:proofErr w:type="spellStart"/>
            <w:r w:rsidRPr="00215496">
              <w:rPr>
                <w:lang w:val="en-GB"/>
              </w:rPr>
              <w:t>Istasyon</w:t>
            </w:r>
            <w:proofErr w:type="spellEnd"/>
            <w:r w:rsidRPr="00215496">
              <w:rPr>
                <w:lang w:val="en-GB"/>
              </w:rPr>
              <w:t xml:space="preserve"> </w:t>
            </w:r>
            <w:proofErr w:type="spellStart"/>
            <w:r w:rsidRPr="00215496">
              <w:rPr>
                <w:lang w:val="en-GB"/>
              </w:rPr>
              <w:t>Yolu</w:t>
            </w:r>
            <w:proofErr w:type="spellEnd"/>
            <w:r w:rsidRPr="00215496">
              <w:rPr>
                <w:lang w:val="en-GB"/>
              </w:rPr>
              <w:t xml:space="preserve"> </w:t>
            </w:r>
            <w:proofErr w:type="spellStart"/>
            <w:r w:rsidRPr="00215496">
              <w:rPr>
                <w:lang w:val="en-GB"/>
              </w:rPr>
              <w:t>Sarıyer</w:t>
            </w:r>
            <w:proofErr w:type="spellEnd"/>
            <w:r w:rsidRPr="00215496">
              <w:rPr>
                <w:lang w:val="en-GB"/>
              </w:rPr>
              <w:t xml:space="preserve"> / Istanbul on payment of 2.000 TRY (Turkish Lira) for the Tender Document and 1.000 TRY (Turkish Lira) for Pre-qualification document.</w:t>
            </w:r>
            <w:r w:rsidRPr="00215496">
              <w:rPr>
                <w:lang w:val="en-GB"/>
              </w:rPr>
              <w:br/>
              <w:t>6.2</w:t>
            </w:r>
            <w:proofErr w:type="gramStart"/>
            <w:r w:rsidRPr="00215496">
              <w:rPr>
                <w:lang w:val="en-GB"/>
              </w:rPr>
              <w:t>.</w:t>
            </w:r>
            <w:r w:rsidRPr="00215496">
              <w:rPr>
                <w:rFonts w:ascii="Helvetica" w:eastAsia="Helvetica" w:hAnsi="Helvetica" w:cs="Helvetica"/>
                <w:sz w:val="20"/>
                <w:szCs w:val="20"/>
                <w:lang w:val="en-GB"/>
              </w:rPr>
              <w:t>Bidders</w:t>
            </w:r>
            <w:proofErr w:type="gramEnd"/>
            <w:r w:rsidRPr="00215496">
              <w:rPr>
                <w:rFonts w:ascii="Helvetica" w:eastAsia="Helvetica" w:hAnsi="Helvetica" w:cs="Helvetica"/>
                <w:sz w:val="20"/>
                <w:szCs w:val="20"/>
                <w:lang w:val="en-GB"/>
              </w:rPr>
              <w:t xml:space="preserve"> to apply for pre-qualification are required to either purchase the pre-qualification document or download from EKAP by using e-signature. </w:t>
            </w:r>
            <w:r w:rsidRPr="00215496">
              <w:rPr>
                <w:lang w:val="en-GB"/>
              </w:rPr>
              <w:br/>
            </w:r>
            <w:r w:rsidRPr="00215496">
              <w:rPr>
                <w:lang w:val="en-GB"/>
              </w:rPr>
              <w:br/>
            </w:r>
            <w:proofErr w:type="gramStart"/>
            <w:r w:rsidRPr="00215496">
              <w:rPr>
                <w:lang w:val="en-GB"/>
              </w:rPr>
              <w:t>7.Applications</w:t>
            </w:r>
            <w:proofErr w:type="gramEnd"/>
            <w:r w:rsidRPr="00215496">
              <w:rPr>
                <w:lang w:val="en-GB"/>
              </w:rPr>
              <w:t xml:space="preserve"> for pre-qualification can be either submitted to the Directorate of Tender Affairs of Istanbul Metropolitan Municipality located in M. </w:t>
            </w:r>
            <w:proofErr w:type="spellStart"/>
            <w:r w:rsidRPr="00215496">
              <w:rPr>
                <w:lang w:val="en-GB"/>
              </w:rPr>
              <w:t>Nezihi</w:t>
            </w:r>
            <w:proofErr w:type="spellEnd"/>
            <w:r w:rsidRPr="00215496">
              <w:rPr>
                <w:lang w:val="en-GB"/>
              </w:rPr>
              <w:t xml:space="preserve"> </w:t>
            </w:r>
            <w:proofErr w:type="spellStart"/>
            <w:r w:rsidRPr="00215496">
              <w:rPr>
                <w:lang w:val="en-GB"/>
              </w:rPr>
              <w:t>Özmen</w:t>
            </w:r>
            <w:proofErr w:type="spellEnd"/>
            <w:r w:rsidRPr="00215496">
              <w:rPr>
                <w:lang w:val="en-GB"/>
              </w:rPr>
              <w:t xml:space="preserve"> </w:t>
            </w:r>
            <w:proofErr w:type="spellStart"/>
            <w:r w:rsidRPr="00215496">
              <w:rPr>
                <w:lang w:val="en-GB"/>
              </w:rPr>
              <w:t>Mahallesi</w:t>
            </w:r>
            <w:proofErr w:type="spellEnd"/>
            <w:r w:rsidRPr="00215496">
              <w:rPr>
                <w:lang w:val="en-GB"/>
              </w:rPr>
              <w:t xml:space="preserve"> </w:t>
            </w:r>
            <w:proofErr w:type="spellStart"/>
            <w:r w:rsidRPr="00215496">
              <w:rPr>
                <w:lang w:val="en-GB"/>
              </w:rPr>
              <w:t>Kasım</w:t>
            </w:r>
            <w:proofErr w:type="spellEnd"/>
            <w:r w:rsidRPr="00215496">
              <w:rPr>
                <w:lang w:val="en-GB"/>
              </w:rPr>
              <w:t xml:space="preserve"> Sk. No.62 34010 </w:t>
            </w:r>
            <w:proofErr w:type="spellStart"/>
            <w:r w:rsidRPr="00215496">
              <w:rPr>
                <w:lang w:val="en-GB"/>
              </w:rPr>
              <w:t>Merter</w:t>
            </w:r>
            <w:proofErr w:type="spellEnd"/>
            <w:r w:rsidRPr="00215496">
              <w:rPr>
                <w:lang w:val="en-GB"/>
              </w:rPr>
              <w:t xml:space="preserve">, </w:t>
            </w:r>
            <w:proofErr w:type="spellStart"/>
            <w:r w:rsidRPr="00215496">
              <w:rPr>
                <w:lang w:val="en-GB"/>
              </w:rPr>
              <w:t>Güngören</w:t>
            </w:r>
            <w:proofErr w:type="spellEnd"/>
            <w:r w:rsidRPr="00215496">
              <w:rPr>
                <w:lang w:val="en-GB"/>
              </w:rPr>
              <w:t>- Istanbul by pre-qualification date and time or sent to this address by registered and replied-paid post.</w:t>
            </w:r>
            <w:r w:rsidRPr="00215496">
              <w:rPr>
                <w:lang w:val="en-GB"/>
              </w:rPr>
              <w:br/>
            </w:r>
            <w:r w:rsidRPr="00215496">
              <w:rPr>
                <w:lang w:val="en-GB"/>
              </w:rPr>
              <w:br/>
            </w:r>
            <w:proofErr w:type="gramStart"/>
            <w:r w:rsidRPr="00215496">
              <w:rPr>
                <w:lang w:val="en-GB"/>
              </w:rPr>
              <w:lastRenderedPageBreak/>
              <w:t>8.</w:t>
            </w:r>
            <w:r w:rsidRPr="00215496">
              <w:rPr>
                <w:rFonts w:ascii="Helvetica" w:eastAsia="Helvetica" w:hAnsi="Helvetica" w:cs="Helvetica"/>
                <w:sz w:val="20"/>
                <w:szCs w:val="20"/>
                <w:lang w:val="en-GB"/>
              </w:rPr>
              <w:t>Consortiums</w:t>
            </w:r>
            <w:proofErr w:type="gramEnd"/>
            <w:r w:rsidRPr="00215496">
              <w:rPr>
                <w:rFonts w:ascii="Helvetica" w:eastAsia="Helvetica" w:hAnsi="Helvetica" w:cs="Helvetica"/>
                <w:sz w:val="20"/>
                <w:szCs w:val="20"/>
                <w:lang w:val="en-GB"/>
              </w:rPr>
              <w:t xml:space="preserve"> cannot submit offer to the bid. </w:t>
            </w:r>
            <w:r w:rsidRPr="00215496">
              <w:rPr>
                <w:lang w:val="en-GB"/>
              </w:rPr>
              <w:br/>
            </w:r>
            <w:r w:rsidRPr="00215496">
              <w:rPr>
                <w:lang w:val="en-GB"/>
              </w:rPr>
              <w:br/>
            </w:r>
            <w:r w:rsidRPr="00215496">
              <w:rPr>
                <w:rFonts w:ascii="Helvetica" w:eastAsia="Helvetica" w:hAnsi="Helvetica" w:cs="Helvetica"/>
                <w:b/>
                <w:bCs/>
                <w:sz w:val="20"/>
                <w:szCs w:val="20"/>
                <w:lang w:val="en-GB"/>
              </w:rPr>
              <w:t>9. Other Matters:</w:t>
            </w:r>
          </w:p>
          <w:p w:rsidR="00C4084C" w:rsidRPr="00215496" w:rsidRDefault="00DB3A4F" w:rsidP="00DB3A4F">
            <w:pPr>
              <w:spacing w:line="240" w:lineRule="atLeast"/>
              <w:rPr>
                <w:lang w:val="en-GB"/>
              </w:rPr>
            </w:pPr>
            <w:r w:rsidRPr="00215496">
              <w:rPr>
                <w:rFonts w:ascii="Helvetica" w:eastAsia="Helvetica" w:hAnsi="Helvetica" w:cs="Helvetica"/>
                <w:sz w:val="20"/>
                <w:szCs w:val="20"/>
                <w:lang w:val="en-GB"/>
              </w:rPr>
              <w:t xml:space="preserve">Limit Value Coefficient </w:t>
            </w:r>
            <w:r>
              <w:rPr>
                <w:rFonts w:ascii="Helvetica" w:eastAsia="Helvetica" w:hAnsi="Helvetica" w:cs="Helvetica"/>
                <w:sz w:val="20"/>
                <w:szCs w:val="20"/>
                <w:lang w:val="en-GB"/>
              </w:rPr>
              <w:t>to be applied in the Tender (N)</w:t>
            </w:r>
            <w:r w:rsidRPr="00215496">
              <w:rPr>
                <w:rFonts w:ascii="Helvetica" w:eastAsia="Helvetica" w:hAnsi="Helvetica" w:cs="Helvetica"/>
                <w:sz w:val="20"/>
                <w:szCs w:val="20"/>
                <w:lang w:val="en-GB"/>
              </w:rPr>
              <w:t>: </w:t>
            </w:r>
            <w:r w:rsidRPr="00215496">
              <w:rPr>
                <w:rFonts w:ascii="Helvetica" w:eastAsia="Helvetica" w:hAnsi="Helvetica" w:cs="Helvetica"/>
                <w:b/>
                <w:bCs/>
                <w:sz w:val="20"/>
                <w:szCs w:val="20"/>
                <w:lang w:val="en-GB"/>
              </w:rPr>
              <w:t>1</w:t>
            </w:r>
            <w:proofErr w:type="gramStart"/>
            <w:r w:rsidRPr="00215496">
              <w:rPr>
                <w:rFonts w:ascii="Helvetica" w:eastAsia="Helvetica" w:hAnsi="Helvetica" w:cs="Helvetica"/>
                <w:b/>
                <w:bCs/>
                <w:sz w:val="20"/>
                <w:szCs w:val="20"/>
                <w:lang w:val="en-GB"/>
              </w:rPr>
              <w:t>,20</w:t>
            </w:r>
            <w:proofErr w:type="gramEnd"/>
            <w:r w:rsidRPr="00215496">
              <w:rPr>
                <w:lang w:val="en-GB"/>
              </w:rPr>
              <w:br/>
            </w:r>
            <w:r w:rsidRPr="00215496">
              <w:rPr>
                <w:rFonts w:ascii="Helvetica" w:eastAsia="Helvetica" w:hAnsi="Helvetica" w:cs="Helvetica"/>
                <w:sz w:val="20"/>
                <w:szCs w:val="20"/>
                <w:lang w:val="en-GB"/>
              </w:rPr>
              <w:t xml:space="preserve">A statement shall be required from bidders whose bids are below the limit value according to the Article 38 of the relevant law. </w:t>
            </w:r>
          </w:p>
          <w:p w:rsidR="00C4084C" w:rsidRPr="00215496" w:rsidRDefault="00DB3A4F">
            <w:pPr>
              <w:spacing w:line="240" w:lineRule="atLeast"/>
              <w:jc w:val="both"/>
              <w:rPr>
                <w:lang w:val="en-GB"/>
              </w:rPr>
            </w:pPr>
            <w:r w:rsidRPr="00215496">
              <w:rPr>
                <w:rFonts w:ascii="Helvetica" w:eastAsia="Helvetica" w:hAnsi="Helvetica" w:cs="Helvetica"/>
                <w:sz w:val="20"/>
                <w:szCs w:val="20"/>
                <w:lang w:val="en-GB"/>
              </w:rPr>
              <w:t> </w:t>
            </w:r>
          </w:p>
          <w:p w:rsidR="00C4084C" w:rsidRPr="00215496" w:rsidRDefault="00DB3A4F">
            <w:pPr>
              <w:spacing w:line="240" w:lineRule="atLeast"/>
              <w:jc w:val="both"/>
              <w:rPr>
                <w:lang w:val="en-GB"/>
              </w:rPr>
            </w:pPr>
            <w:r w:rsidRPr="00215496">
              <w:rPr>
                <w:b/>
                <w:bCs/>
                <w:lang w:val="en-GB"/>
              </w:rPr>
              <w:t> </w:t>
            </w:r>
          </w:p>
          <w:p w:rsidR="00926339" w:rsidRDefault="00926339" w:rsidP="00DB3A4F">
            <w:pPr>
              <w:spacing w:after="150" w:line="240" w:lineRule="atLeast"/>
              <w:rPr>
                <w:rFonts w:ascii="Helvetica" w:eastAsia="Helvetica" w:hAnsi="Helvetica" w:cs="Helvetica"/>
                <w:b/>
                <w:bCs/>
                <w:sz w:val="20"/>
                <w:szCs w:val="20"/>
                <w:lang w:val="en-GB"/>
              </w:rPr>
            </w:pPr>
            <w:r>
              <w:rPr>
                <w:rFonts w:ascii="Helvetica" w:eastAsia="Helvetica" w:hAnsi="Helvetica" w:cs="Helvetica"/>
                <w:b/>
                <w:bCs/>
                <w:sz w:val="20"/>
                <w:szCs w:val="20"/>
                <w:lang w:val="en-GB"/>
              </w:rPr>
              <w:t xml:space="preserve">9.1. </w:t>
            </w:r>
            <w:r w:rsidR="00DB3A4F" w:rsidRPr="00215496">
              <w:rPr>
                <w:rFonts w:ascii="Helvetica" w:eastAsia="Helvetica" w:hAnsi="Helvetica" w:cs="Helvetica"/>
                <w:b/>
                <w:bCs/>
                <w:sz w:val="20"/>
                <w:szCs w:val="20"/>
                <w:lang w:val="en-GB"/>
              </w:rPr>
              <w:t>Financing of the Work</w:t>
            </w:r>
          </w:p>
          <w:p w:rsidR="00926339" w:rsidRDefault="00DB3A4F" w:rsidP="00DB3A4F">
            <w:pPr>
              <w:spacing w:after="150" w:line="240" w:lineRule="atLeast"/>
              <w:rPr>
                <w:rFonts w:ascii="Helvetica" w:eastAsia="Helvetica" w:hAnsi="Helvetica" w:cs="Helvetica"/>
                <w:b/>
                <w:bCs/>
                <w:sz w:val="20"/>
                <w:szCs w:val="20"/>
                <w:lang w:val="en-GB"/>
              </w:rPr>
            </w:pPr>
            <w:r w:rsidRPr="00215496">
              <w:rPr>
                <w:lang w:val="en-GB"/>
              </w:rPr>
              <w:br/>
              <w:t>The financing of the work will be made by loan and by using equity capital.</w:t>
            </w:r>
            <w:r>
              <w:rPr>
                <w:lang w:val="en-GB"/>
              </w:rPr>
              <w:t xml:space="preserve"> </w:t>
            </w:r>
            <w:r w:rsidRPr="00215496">
              <w:rPr>
                <w:lang w:val="en-GB"/>
              </w:rPr>
              <w:t xml:space="preserve">Bidders are required to submit at least %57 of the total bid stated in the proposal letter as well as the loan proposal. However, the Administration reserves the right to obtain a loan other than the offered loan with </w:t>
            </w:r>
            <w:r w:rsidRPr="00215496">
              <w:rPr>
                <w:rFonts w:ascii="Helvetica" w:eastAsia="Helvetica" w:hAnsi="Helvetica" w:cs="Helvetica"/>
                <w:b/>
                <w:bCs/>
                <w:sz w:val="20"/>
                <w:szCs w:val="20"/>
                <w:lang w:val="en-GB"/>
              </w:rPr>
              <w:t>its own means and to execute the work by using equity capital. In the process between the signature of the contract on construction works and the signature of the Loan Agreement, the advance payments as well as the progress payments could be made from the equity capital if the Administration deems it suitable. In such a case, the Loan Agreement shall be signed in the amount detected after deducting these payments from the total contract price.</w:t>
            </w:r>
            <w:r w:rsidRPr="00215496">
              <w:rPr>
                <w:lang w:val="en-GB"/>
              </w:rPr>
              <w:br/>
            </w:r>
          </w:p>
          <w:p w:rsidR="00926339" w:rsidRDefault="00926339" w:rsidP="00DB3A4F">
            <w:pPr>
              <w:spacing w:after="150" w:line="240" w:lineRule="atLeast"/>
              <w:rPr>
                <w:rFonts w:ascii="Helvetica" w:eastAsia="Helvetica" w:hAnsi="Helvetica" w:cs="Helvetica"/>
                <w:b/>
                <w:bCs/>
                <w:sz w:val="20"/>
                <w:szCs w:val="20"/>
                <w:lang w:val="en-GB"/>
              </w:rPr>
            </w:pPr>
            <w:r>
              <w:rPr>
                <w:rFonts w:ascii="Helvetica" w:eastAsia="Helvetica" w:hAnsi="Helvetica" w:cs="Helvetica"/>
                <w:b/>
                <w:bCs/>
                <w:sz w:val="20"/>
                <w:szCs w:val="20"/>
                <w:lang w:val="en-GB"/>
              </w:rPr>
              <w:t xml:space="preserve">9.2. </w:t>
            </w:r>
            <w:r w:rsidR="00DB3A4F" w:rsidRPr="00215496">
              <w:rPr>
                <w:rFonts w:ascii="Helvetica" w:eastAsia="Helvetica" w:hAnsi="Helvetica" w:cs="Helvetica"/>
                <w:b/>
                <w:bCs/>
                <w:sz w:val="20"/>
                <w:szCs w:val="20"/>
                <w:lang w:val="en-GB"/>
              </w:rPr>
              <w:t>Delivery of the Draft Work Program</w:t>
            </w:r>
          </w:p>
          <w:p w:rsidR="00C4084C" w:rsidRPr="00926339" w:rsidRDefault="00DB3A4F" w:rsidP="00DB3A4F">
            <w:pPr>
              <w:spacing w:after="150" w:line="240" w:lineRule="atLeast"/>
              <w:rPr>
                <w:rFonts w:ascii="Helvetica" w:eastAsia="Helvetica" w:hAnsi="Helvetica" w:cs="Helvetica"/>
                <w:b/>
                <w:bCs/>
                <w:sz w:val="20"/>
                <w:szCs w:val="20"/>
                <w:lang w:val="en-GB"/>
              </w:rPr>
            </w:pPr>
            <w:r w:rsidRPr="00215496">
              <w:rPr>
                <w:lang w:val="en-GB"/>
              </w:rPr>
              <w:br/>
            </w:r>
            <w:r w:rsidRPr="00215496">
              <w:rPr>
                <w:rFonts w:ascii="Helvetica" w:eastAsia="Helvetica" w:hAnsi="Helvetica" w:cs="Helvetica"/>
                <w:b/>
                <w:bCs/>
                <w:sz w:val="20"/>
                <w:szCs w:val="20"/>
                <w:lang w:val="en-GB"/>
              </w:rPr>
              <w:t xml:space="preserve">Considering the terms specified in Article 12 and Article 33 of the Contract Draft as well as the interim deadlines for the delivery of the Draft Work Program to complete the defined works in this scope, bidders shall also attach their draft work programs to their bids. </w:t>
            </w:r>
            <w:r w:rsidRPr="00215496">
              <w:rPr>
                <w:lang w:val="en-GB"/>
              </w:rPr>
              <w:br/>
            </w:r>
            <w:r w:rsidRPr="00215496">
              <w:rPr>
                <w:rFonts w:ascii="Helvetica" w:eastAsia="Helvetica" w:hAnsi="Helvetica" w:cs="Helvetica"/>
                <w:b/>
                <w:bCs/>
                <w:sz w:val="20"/>
                <w:szCs w:val="20"/>
                <w:lang w:val="en-GB"/>
              </w:rPr>
              <w:t>Bids without Draft Work Program will not be evaluated.</w:t>
            </w:r>
          </w:p>
        </w:tc>
      </w:tr>
    </w:tbl>
    <w:p w:rsidR="00C4084C" w:rsidRPr="00215496" w:rsidRDefault="00DB3A4F">
      <w:pPr>
        <w:spacing w:after="200" w:line="276" w:lineRule="auto"/>
        <w:rPr>
          <w:lang w:val="en-GB"/>
        </w:rPr>
      </w:pPr>
      <w:r w:rsidRPr="00215496">
        <w:rPr>
          <w:rFonts w:ascii="Calibri" w:eastAsia="Calibri" w:hAnsi="Calibri" w:cs="Calibri"/>
          <w:sz w:val="22"/>
          <w:szCs w:val="22"/>
          <w:lang w:val="en-GB"/>
        </w:rPr>
        <w:lastRenderedPageBreak/>
        <w:t> </w:t>
      </w:r>
    </w:p>
    <w:sectPr w:rsidR="00C4084C" w:rsidRPr="00215496" w:rsidSect="00C4084C">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hyphenationZone w:val="425"/>
  <w:noPunctuationKerning/>
  <w:characterSpacingControl w:val="doNotCompress"/>
  <w:compat/>
  <w:rsids>
    <w:rsidRoot w:val="00C4084C"/>
    <w:rsid w:val="00215496"/>
    <w:rsid w:val="00926339"/>
    <w:rsid w:val="00C4084C"/>
    <w:rsid w:val="00CC5FA1"/>
    <w:rsid w:val="00DB3A4F"/>
    <w:rsid w:val="00F446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Balk1">
    <w:name w:val="heading 1"/>
    <w:basedOn w:val="Normal"/>
    <w:next w:val="Normal"/>
    <w:qFormat/>
    <w:rsid w:val="00EF7B96"/>
    <w:pPr>
      <w:keepNext/>
      <w:spacing w:before="240" w:after="60"/>
      <w:outlineLvl w:val="0"/>
    </w:pPr>
    <w:rPr>
      <w:b/>
      <w:bCs/>
      <w:kern w:val="32"/>
      <w:sz w:val="48"/>
      <w:szCs w:val="48"/>
    </w:rPr>
  </w:style>
  <w:style w:type="paragraph" w:styleId="Balk2">
    <w:name w:val="heading 2"/>
    <w:basedOn w:val="Normal"/>
    <w:next w:val="Normal"/>
    <w:qFormat/>
    <w:rsid w:val="00EF7B96"/>
    <w:pPr>
      <w:keepNext/>
      <w:spacing w:before="240" w:after="60"/>
      <w:outlineLvl w:val="1"/>
    </w:pPr>
    <w:rPr>
      <w:b/>
      <w:bCs/>
      <w:iCs/>
      <w:sz w:val="36"/>
      <w:szCs w:val="36"/>
    </w:rPr>
  </w:style>
  <w:style w:type="paragraph" w:styleId="Balk3">
    <w:name w:val="heading 3"/>
    <w:basedOn w:val="Normal"/>
    <w:next w:val="Normal"/>
    <w:qFormat/>
    <w:rsid w:val="00EF7B96"/>
    <w:pPr>
      <w:keepNext/>
      <w:spacing w:before="240" w:after="60"/>
      <w:outlineLvl w:val="2"/>
    </w:pPr>
    <w:rPr>
      <w:b/>
      <w:bCs/>
      <w:sz w:val="28"/>
      <w:szCs w:val="28"/>
    </w:rPr>
  </w:style>
  <w:style w:type="paragraph" w:styleId="Balk4">
    <w:name w:val="heading 4"/>
    <w:basedOn w:val="Normal"/>
    <w:next w:val="Normal"/>
    <w:qFormat/>
    <w:rsid w:val="00EF7B96"/>
    <w:pPr>
      <w:keepNext/>
      <w:spacing w:before="240" w:after="60"/>
      <w:outlineLvl w:val="3"/>
    </w:pPr>
    <w:rPr>
      <w:b/>
      <w:bCs/>
    </w:rPr>
  </w:style>
  <w:style w:type="paragraph" w:styleId="Balk5">
    <w:name w:val="heading 5"/>
    <w:basedOn w:val="Normal"/>
    <w:next w:val="Normal"/>
    <w:qFormat/>
    <w:rsid w:val="00EF7B96"/>
    <w:pPr>
      <w:spacing w:before="240" w:after="60"/>
      <w:outlineLvl w:val="4"/>
    </w:pPr>
    <w:rPr>
      <w:b/>
      <w:bCs/>
      <w:iCs/>
      <w:sz w:val="20"/>
      <w:szCs w:val="20"/>
    </w:rPr>
  </w:style>
  <w:style w:type="paragraph" w:styleId="Balk6">
    <w:name w:val="heading 6"/>
    <w:basedOn w:val="Normal"/>
    <w:next w:val="Normal"/>
    <w:qFormat/>
    <w:rsid w:val="00EF7B96"/>
    <w:pPr>
      <w:spacing w:before="240" w:after="60"/>
      <w:outlineLvl w:val="5"/>
    </w:pPr>
    <w:rPr>
      <w:b/>
      <w:bCs/>
      <w:sz w:val="16"/>
      <w:szCs w:val="1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3064A9FA75D4DB084B34F23FF3FAE" ma:contentTypeVersion="2" ma:contentTypeDescription="Create a new document." ma:contentTypeScope="" ma:versionID="5de0dad0482f57e4cab7e4a7b1c0ba9e">
  <xsd:schema xmlns:xsd="http://www.w3.org/2001/XMLSchema" xmlns:p="http://schemas.microsoft.com/office/2006/metadata/properties" xmlns:ns1="http://schemas.microsoft.com/sharepoint/v3" targetNamespace="http://schemas.microsoft.com/office/2006/metadata/properties" ma:root="true" ma:fieldsID="4b590a0b0af075b5b26196c3a6fff3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4C6E6-DB46-4280-87BD-E087FA8A3758}"/>
</file>

<file path=customXml/itemProps2.xml><?xml version="1.0" encoding="utf-8"?>
<ds:datastoreItem xmlns:ds="http://schemas.openxmlformats.org/officeDocument/2006/customXml" ds:itemID="{4FAF56E1-E25F-49FE-98E0-C80A7FD0105B}"/>
</file>

<file path=customXml/itemProps3.xml><?xml version="1.0" encoding="utf-8"?>
<ds:datastoreItem xmlns:ds="http://schemas.openxmlformats.org/officeDocument/2006/customXml" ds:itemID="{FE084FE0-C560-49EF-8576-29479D0D6F93}"/>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YÖNEY</dc:creator>
  <cp:lastModifiedBy>Özgür Yöney</cp:lastModifiedBy>
  <cp:revision>2</cp:revision>
  <dcterms:created xsi:type="dcterms:W3CDTF">2016-08-11T08:33:00Z</dcterms:created>
  <dcterms:modified xsi:type="dcterms:W3CDTF">2016-08-11T08:33:00Z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0x0101009CF3064A9FA75D4DB084B34F23FF3FAE</vt:lpwstr>
  </property>
</Properties>
</file>